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AB315C" w14:textId="77777777" w:rsidR="00150541" w:rsidRDefault="00150541" w:rsidP="00150541">
      <w:pPr>
        <w:pStyle w:val="a3"/>
        <w:ind w:left="57"/>
        <w:jc w:val="center"/>
        <w:rPr>
          <w:rFonts w:ascii="Times New Roman" w:hAnsi="Times New Roman"/>
          <w:sz w:val="24"/>
          <w:szCs w:val="24"/>
        </w:rPr>
      </w:pPr>
      <w:r w:rsidRPr="00C97594">
        <w:rPr>
          <w:rFonts w:ascii="Times New Roman" w:hAnsi="Times New Roman"/>
          <w:sz w:val="24"/>
          <w:szCs w:val="24"/>
          <w:lang w:eastAsia="ar-SA"/>
        </w:rPr>
        <w:object w:dxaOrig="2745" w:dyaOrig="3465" w14:anchorId="2D8E54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42.75pt" o:ole="" filled="t">
            <v:fill color2="black"/>
            <v:imagedata r:id="rId6" o:title=""/>
          </v:shape>
          <o:OLEObject Type="Embed" ProgID="PBrush" ShapeID="_x0000_i1025" DrawAspect="Content" ObjectID="_1744526420" r:id="rId7"/>
        </w:object>
      </w:r>
    </w:p>
    <w:p w14:paraId="689187B6" w14:textId="77777777" w:rsidR="00150541" w:rsidRPr="00C97594" w:rsidRDefault="00150541" w:rsidP="00150541">
      <w:pPr>
        <w:overflowPunct w:val="0"/>
        <w:autoSpaceDE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2104389" w14:textId="77777777" w:rsidR="00150541" w:rsidRPr="00D160CD" w:rsidRDefault="009E2AF9" w:rsidP="00150541">
      <w:pPr>
        <w:overflowPunct w:val="0"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</w:t>
      </w:r>
      <w:r w:rsidR="00150541" w:rsidRPr="00D160CD">
        <w:rPr>
          <w:rFonts w:ascii="Times New Roman" w:hAnsi="Times New Roman"/>
          <w:b/>
          <w:sz w:val="24"/>
          <w:szCs w:val="24"/>
          <w:lang w:val="uk-UA"/>
        </w:rPr>
        <w:t>УКРАЇНА</w:t>
      </w:r>
    </w:p>
    <w:p w14:paraId="34FBA042" w14:textId="437838A8" w:rsidR="00150541" w:rsidRPr="00D160CD" w:rsidRDefault="009E2AF9" w:rsidP="00150541">
      <w:pPr>
        <w:overflowPunct w:val="0"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</w:t>
      </w:r>
      <w:r w:rsidR="00C6403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150541" w:rsidRPr="00D160CD">
        <w:rPr>
          <w:rFonts w:ascii="Times New Roman" w:hAnsi="Times New Roman"/>
          <w:b/>
          <w:sz w:val="24"/>
          <w:szCs w:val="24"/>
          <w:lang w:val="uk-UA"/>
        </w:rPr>
        <w:t>ПОЛЯНИЦЬКА  СІЛЬСЬКА  РАДА</w:t>
      </w:r>
    </w:p>
    <w:p w14:paraId="7622678F" w14:textId="519C8CFB" w:rsidR="0058577E" w:rsidRPr="0058577E" w:rsidRDefault="0058577E" w:rsidP="00150541">
      <w:pPr>
        <w:overflowPunct w:val="0"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ФІНАНСОВИЙ ВІДДІЛ ПОЛЯНИЦЬКОЇ СІЛЬСЬКОЇ РАДИ</w:t>
      </w:r>
    </w:p>
    <w:p w14:paraId="343FD460" w14:textId="77777777" w:rsidR="00150541" w:rsidRDefault="009E2AF9" w:rsidP="00150541">
      <w:pPr>
        <w:overflowPunct w:val="0"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C6403E">
        <w:rPr>
          <w:rFonts w:ascii="Times New Roman" w:hAnsi="Times New Roman"/>
          <w:b/>
          <w:sz w:val="24"/>
          <w:szCs w:val="24"/>
        </w:rPr>
        <w:t>НАДВІРНЯНСЬКОГО РАЙОН</w:t>
      </w:r>
      <w:r w:rsidR="00C6403E">
        <w:rPr>
          <w:rFonts w:ascii="Times New Roman" w:hAnsi="Times New Roman"/>
          <w:b/>
          <w:sz w:val="24"/>
          <w:szCs w:val="24"/>
          <w:lang w:val="uk-UA"/>
        </w:rPr>
        <w:t>У</w:t>
      </w:r>
      <w:r w:rsidR="00C6403E">
        <w:rPr>
          <w:rFonts w:ascii="Times New Roman" w:hAnsi="Times New Roman"/>
          <w:b/>
          <w:sz w:val="24"/>
          <w:szCs w:val="24"/>
        </w:rPr>
        <w:t xml:space="preserve"> ІВАНО-ФРАНКІВСЬКОЇ ОБЛАСТІ</w:t>
      </w:r>
    </w:p>
    <w:p w14:paraId="5003E4BF" w14:textId="77777777" w:rsidR="00C6403E" w:rsidRPr="009E2AF9" w:rsidRDefault="00C6403E" w:rsidP="00150541">
      <w:pPr>
        <w:overflowPunct w:val="0"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406B5F22" w14:textId="77777777" w:rsidR="009E2AF9" w:rsidRPr="00C6403E" w:rsidRDefault="009E2AF9" w:rsidP="00150541">
      <w:pPr>
        <w:pBdr>
          <w:bottom w:val="single" w:sz="8" w:space="1" w:color="000000"/>
        </w:pBdr>
        <w:overflowPunct w:val="0"/>
        <w:autoSpaceDE w:val="0"/>
        <w:spacing w:after="0" w:line="240" w:lineRule="auto"/>
        <w:jc w:val="center"/>
        <w:rPr>
          <w:rFonts w:ascii="Times New Roman" w:hAnsi="Times New Roman"/>
          <w:sz w:val="18"/>
          <w:szCs w:val="18"/>
          <w:lang w:val="uk-UA"/>
        </w:rPr>
      </w:pPr>
      <w:r w:rsidRPr="00C6403E">
        <w:rPr>
          <w:rFonts w:ascii="Times New Roman" w:hAnsi="Times New Roman"/>
          <w:sz w:val="18"/>
          <w:szCs w:val="18"/>
          <w:lang w:val="uk-UA"/>
        </w:rPr>
        <w:t xml:space="preserve">вул. Карпатська 1 А, с. Поляниця, </w:t>
      </w:r>
      <w:r w:rsidR="00182868" w:rsidRPr="00C6403E">
        <w:rPr>
          <w:rFonts w:ascii="Times New Roman" w:hAnsi="Times New Roman"/>
          <w:sz w:val="18"/>
          <w:szCs w:val="18"/>
          <w:lang w:val="uk-UA"/>
        </w:rPr>
        <w:t>Надвір</w:t>
      </w:r>
      <w:r w:rsidRPr="00C6403E">
        <w:rPr>
          <w:rFonts w:ascii="Times New Roman" w:hAnsi="Times New Roman"/>
          <w:sz w:val="18"/>
          <w:szCs w:val="18"/>
          <w:lang w:val="uk-UA"/>
        </w:rPr>
        <w:t>нянський</w:t>
      </w:r>
      <w:r w:rsidR="00150541" w:rsidRPr="00C6403E">
        <w:rPr>
          <w:rFonts w:ascii="Times New Roman" w:hAnsi="Times New Roman"/>
          <w:sz w:val="18"/>
          <w:szCs w:val="18"/>
          <w:lang w:val="uk-UA"/>
        </w:rPr>
        <w:t xml:space="preserve"> рай</w:t>
      </w:r>
      <w:r w:rsidR="00182868" w:rsidRPr="00C6403E">
        <w:rPr>
          <w:rFonts w:ascii="Times New Roman" w:hAnsi="Times New Roman"/>
          <w:sz w:val="18"/>
          <w:szCs w:val="18"/>
          <w:lang w:val="uk-UA"/>
        </w:rPr>
        <w:t>о</w:t>
      </w:r>
      <w:r w:rsidRPr="00C6403E">
        <w:rPr>
          <w:rFonts w:ascii="Times New Roman" w:hAnsi="Times New Roman"/>
          <w:sz w:val="18"/>
          <w:szCs w:val="18"/>
          <w:lang w:val="uk-UA"/>
        </w:rPr>
        <w:t>н</w:t>
      </w:r>
      <w:r w:rsidR="00150541" w:rsidRPr="00C6403E">
        <w:rPr>
          <w:rFonts w:ascii="Times New Roman" w:hAnsi="Times New Roman"/>
          <w:sz w:val="18"/>
          <w:szCs w:val="18"/>
          <w:lang w:val="uk-UA"/>
        </w:rPr>
        <w:t>,</w:t>
      </w:r>
      <w:r w:rsidRPr="00C6403E">
        <w:rPr>
          <w:rFonts w:ascii="Times New Roman" w:hAnsi="Times New Roman"/>
          <w:sz w:val="18"/>
          <w:szCs w:val="18"/>
          <w:lang w:val="uk-UA"/>
        </w:rPr>
        <w:t xml:space="preserve"> Івано-Франківська область, 78593</w:t>
      </w:r>
      <w:r w:rsidR="00150541" w:rsidRPr="00C6403E">
        <w:rPr>
          <w:rFonts w:ascii="Times New Roman" w:hAnsi="Times New Roman"/>
          <w:sz w:val="18"/>
          <w:szCs w:val="18"/>
          <w:lang w:val="uk-UA"/>
        </w:rPr>
        <w:t xml:space="preserve">  </w:t>
      </w:r>
    </w:p>
    <w:p w14:paraId="722D7CD5" w14:textId="435A9DAE" w:rsidR="00150541" w:rsidRPr="0058577E" w:rsidRDefault="00C6403E" w:rsidP="00C6403E">
      <w:pPr>
        <w:pBdr>
          <w:bottom w:val="single" w:sz="8" w:space="1" w:color="000000"/>
        </w:pBdr>
        <w:overflowPunct w:val="0"/>
        <w:autoSpaceDE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proofErr w:type="gramStart"/>
      <w:r w:rsidRPr="00C6403E">
        <w:rPr>
          <w:rFonts w:ascii="Times New Roman" w:hAnsi="Times New Roman"/>
          <w:sz w:val="18"/>
          <w:szCs w:val="18"/>
          <w:lang w:val="en-US"/>
        </w:rPr>
        <w:t>e</w:t>
      </w:r>
      <w:r w:rsidR="009E2AF9" w:rsidRPr="00C6403E">
        <w:rPr>
          <w:rFonts w:ascii="Times New Roman" w:hAnsi="Times New Roman"/>
          <w:sz w:val="18"/>
          <w:szCs w:val="18"/>
          <w:lang w:val="uk-UA"/>
        </w:rPr>
        <w:t>-</w:t>
      </w:r>
      <w:r w:rsidR="009E2AF9" w:rsidRPr="00C6403E">
        <w:rPr>
          <w:rFonts w:ascii="Times New Roman" w:hAnsi="Times New Roman"/>
          <w:sz w:val="18"/>
          <w:szCs w:val="18"/>
          <w:lang w:val="en-US"/>
        </w:rPr>
        <w:t>mail</w:t>
      </w:r>
      <w:r w:rsidR="009E2AF9" w:rsidRPr="00C6403E">
        <w:rPr>
          <w:rFonts w:ascii="Times New Roman" w:hAnsi="Times New Roman"/>
          <w:sz w:val="18"/>
          <w:szCs w:val="18"/>
          <w:lang w:val="uk-UA"/>
        </w:rPr>
        <w:t>:</w:t>
      </w:r>
      <w:r w:rsidR="0058577E" w:rsidRPr="0058577E">
        <w:rPr>
          <w:color w:val="5B9BD5" w:themeColor="accent1"/>
        </w:rPr>
        <w:t>finpol21@ukr.net</w:t>
      </w:r>
      <w:proofErr w:type="gramEnd"/>
      <w:r w:rsidR="0058577E" w:rsidRPr="0058577E">
        <w:rPr>
          <w:rFonts w:ascii="Times New Roman" w:hAnsi="Times New Roman"/>
          <w:color w:val="5B9BD5" w:themeColor="accent1"/>
          <w:sz w:val="18"/>
          <w:szCs w:val="18"/>
        </w:rPr>
        <w:t xml:space="preserve"> </w:t>
      </w:r>
      <w:r w:rsidRPr="0058577E">
        <w:rPr>
          <w:rFonts w:ascii="Times New Roman" w:hAnsi="Times New Roman"/>
          <w:color w:val="5B9BD5" w:themeColor="accent1"/>
          <w:sz w:val="18"/>
          <w:szCs w:val="18"/>
          <w:lang w:val="uk-UA"/>
        </w:rPr>
        <w:t xml:space="preserve"> </w:t>
      </w:r>
      <w:r w:rsidRPr="00C6403E">
        <w:rPr>
          <w:rFonts w:ascii="Times New Roman" w:hAnsi="Times New Roman"/>
          <w:sz w:val="18"/>
          <w:szCs w:val="18"/>
          <w:lang w:val="uk-UA"/>
        </w:rPr>
        <w:t xml:space="preserve">код ЄДРПОУ </w:t>
      </w:r>
      <w:r w:rsidR="0058577E" w:rsidRPr="0058577E">
        <w:rPr>
          <w:rFonts w:ascii="Times New Roman" w:hAnsi="Times New Roman"/>
          <w:sz w:val="18"/>
          <w:szCs w:val="18"/>
        </w:rPr>
        <w:t>44143485</w:t>
      </w:r>
    </w:p>
    <w:p w14:paraId="561ADD48" w14:textId="77777777" w:rsidR="00150541" w:rsidRPr="009E2AF9" w:rsidRDefault="00150541" w:rsidP="00150541">
      <w:pPr>
        <w:overflowPunct w:val="0"/>
        <w:autoSpaceDE w:val="0"/>
        <w:spacing w:after="0" w:line="240" w:lineRule="auto"/>
        <w:jc w:val="both"/>
        <w:rPr>
          <w:rFonts w:ascii="Times New Roman" w:hAnsi="Times New Roman"/>
          <w:b/>
          <w:bCs/>
          <w:lang w:val="uk-UA"/>
        </w:rPr>
      </w:pPr>
      <w:r w:rsidRPr="009E2AF9">
        <w:rPr>
          <w:rFonts w:ascii="Times New Roman" w:hAnsi="Times New Roman"/>
          <w:b/>
          <w:bCs/>
          <w:lang w:val="uk-UA"/>
        </w:rPr>
        <w:t xml:space="preserve"> </w:t>
      </w:r>
    </w:p>
    <w:p w14:paraId="5FA7EE31" w14:textId="21B410F6" w:rsidR="009A05EE" w:rsidRPr="000077EB" w:rsidRDefault="00051953" w:rsidP="00150541">
      <w:pPr>
        <w:tabs>
          <w:tab w:val="num" w:pos="540"/>
          <w:tab w:val="left" w:pos="720"/>
        </w:tabs>
        <w:spacing w:after="0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</w:t>
      </w:r>
      <w:r w:rsidR="00067599">
        <w:rPr>
          <w:rFonts w:ascii="Times New Roman" w:hAnsi="Times New Roman"/>
          <w:lang w:val="uk-UA"/>
        </w:rPr>
        <w:t>02</w:t>
      </w:r>
      <w:r w:rsidR="00AF1CC5">
        <w:rPr>
          <w:rFonts w:ascii="Times New Roman" w:hAnsi="Times New Roman"/>
          <w:lang w:val="uk-UA"/>
        </w:rPr>
        <w:t>.</w:t>
      </w:r>
      <w:r w:rsidR="00222CC5">
        <w:rPr>
          <w:rFonts w:ascii="Times New Roman" w:hAnsi="Times New Roman"/>
          <w:lang w:val="uk-UA"/>
        </w:rPr>
        <w:t>0</w:t>
      </w:r>
      <w:r w:rsidR="00067599">
        <w:rPr>
          <w:rFonts w:ascii="Times New Roman" w:hAnsi="Times New Roman"/>
          <w:lang w:val="uk-UA"/>
        </w:rPr>
        <w:t>5</w:t>
      </w:r>
      <w:r w:rsidR="000077EB">
        <w:rPr>
          <w:rFonts w:ascii="Times New Roman" w:hAnsi="Times New Roman"/>
          <w:lang w:val="uk-UA"/>
        </w:rPr>
        <w:t>.</w:t>
      </w:r>
      <w:r w:rsidR="00222CC5">
        <w:rPr>
          <w:rFonts w:ascii="Times New Roman" w:hAnsi="Times New Roman"/>
          <w:lang w:val="uk-UA"/>
        </w:rPr>
        <w:t>202</w:t>
      </w:r>
      <w:r w:rsidR="000077EB">
        <w:rPr>
          <w:rFonts w:ascii="Times New Roman" w:hAnsi="Times New Roman"/>
          <w:lang w:val="uk-UA"/>
        </w:rPr>
        <w:t>2</w:t>
      </w:r>
      <w:r w:rsidR="00222CC5">
        <w:rPr>
          <w:rFonts w:ascii="Times New Roman" w:hAnsi="Times New Roman"/>
          <w:lang w:val="uk-UA"/>
        </w:rPr>
        <w:t xml:space="preserve">р. </w:t>
      </w:r>
      <w:r w:rsidR="009A05EE" w:rsidRPr="009A05EE">
        <w:rPr>
          <w:rFonts w:ascii="Times New Roman" w:hAnsi="Times New Roman"/>
          <w:lang w:val="uk-UA"/>
        </w:rPr>
        <w:t>№</w:t>
      </w:r>
      <w:r w:rsidR="000077EB">
        <w:rPr>
          <w:rFonts w:ascii="Times New Roman" w:hAnsi="Times New Roman"/>
          <w:lang w:val="uk-UA"/>
        </w:rPr>
        <w:t xml:space="preserve"> 8</w:t>
      </w:r>
      <w:r w:rsidR="00067599">
        <w:rPr>
          <w:rFonts w:ascii="Times New Roman" w:hAnsi="Times New Roman"/>
          <w:lang w:val="uk-UA"/>
        </w:rPr>
        <w:t>6</w:t>
      </w:r>
    </w:p>
    <w:p w14:paraId="4869C23D" w14:textId="5A250D44" w:rsidR="003B2A3E" w:rsidRDefault="00150541" w:rsidP="00150541">
      <w:pPr>
        <w:tabs>
          <w:tab w:val="num" w:pos="540"/>
          <w:tab w:val="left" w:pos="720"/>
        </w:tabs>
        <w:spacing w:after="0"/>
        <w:jc w:val="both"/>
        <w:rPr>
          <w:rFonts w:ascii="Times New Roman" w:hAnsi="Times New Roman"/>
          <w:b/>
          <w:lang w:val="uk-UA"/>
        </w:rPr>
      </w:pPr>
      <w:r w:rsidRPr="009E2AF9">
        <w:rPr>
          <w:rFonts w:ascii="Times New Roman" w:hAnsi="Times New Roman"/>
          <w:b/>
          <w:lang w:val="uk-UA"/>
        </w:rPr>
        <w:tab/>
      </w:r>
      <w:r w:rsidRPr="009E2AF9">
        <w:rPr>
          <w:rFonts w:ascii="Times New Roman" w:hAnsi="Times New Roman"/>
          <w:b/>
          <w:lang w:val="uk-UA"/>
        </w:rPr>
        <w:tab/>
      </w:r>
      <w:r w:rsidRPr="009E2AF9">
        <w:rPr>
          <w:rFonts w:ascii="Times New Roman" w:hAnsi="Times New Roman"/>
          <w:b/>
          <w:lang w:val="uk-UA"/>
        </w:rPr>
        <w:tab/>
      </w:r>
      <w:r w:rsidRPr="009E2AF9">
        <w:rPr>
          <w:rFonts w:ascii="Times New Roman" w:hAnsi="Times New Roman"/>
          <w:b/>
          <w:lang w:val="uk-UA"/>
        </w:rPr>
        <w:tab/>
      </w:r>
      <w:r w:rsidRPr="009E2AF9">
        <w:rPr>
          <w:rFonts w:ascii="Times New Roman" w:hAnsi="Times New Roman"/>
          <w:b/>
          <w:lang w:val="uk-UA"/>
        </w:rPr>
        <w:tab/>
      </w:r>
      <w:r w:rsidRPr="009E2AF9">
        <w:rPr>
          <w:rFonts w:ascii="Times New Roman" w:hAnsi="Times New Roman"/>
          <w:b/>
          <w:lang w:val="uk-UA"/>
        </w:rPr>
        <w:tab/>
      </w:r>
      <w:r w:rsidRPr="009E2AF9">
        <w:rPr>
          <w:rFonts w:ascii="Times New Roman" w:hAnsi="Times New Roman"/>
          <w:b/>
          <w:lang w:val="uk-UA"/>
        </w:rPr>
        <w:tab/>
      </w:r>
      <w:r w:rsidRPr="009E2AF9">
        <w:rPr>
          <w:rFonts w:ascii="Times New Roman" w:hAnsi="Times New Roman"/>
          <w:b/>
          <w:lang w:val="uk-UA"/>
        </w:rPr>
        <w:tab/>
      </w:r>
      <w:r w:rsidRPr="009E2AF9">
        <w:rPr>
          <w:rFonts w:ascii="Times New Roman" w:hAnsi="Times New Roman"/>
          <w:b/>
          <w:lang w:val="uk-UA"/>
        </w:rPr>
        <w:tab/>
      </w:r>
      <w:r w:rsidRPr="009E2AF9">
        <w:rPr>
          <w:rFonts w:ascii="Times New Roman" w:hAnsi="Times New Roman"/>
          <w:b/>
          <w:lang w:val="uk-UA"/>
        </w:rPr>
        <w:tab/>
      </w:r>
      <w:r w:rsidRPr="009E2AF9">
        <w:rPr>
          <w:rFonts w:ascii="Times New Roman" w:hAnsi="Times New Roman"/>
          <w:b/>
          <w:lang w:val="uk-UA"/>
        </w:rPr>
        <w:tab/>
      </w:r>
    </w:p>
    <w:p w14:paraId="6E734663" w14:textId="75281C54" w:rsidR="00FE4A48" w:rsidRPr="005F6DCA" w:rsidRDefault="00150541" w:rsidP="00222CC5">
      <w:pPr>
        <w:tabs>
          <w:tab w:val="num" w:pos="540"/>
          <w:tab w:val="left" w:pos="5546"/>
        </w:tabs>
        <w:spacing w:after="0"/>
        <w:jc w:val="both"/>
        <w:rPr>
          <w:rFonts w:ascii="Times New Roman" w:hAnsi="Times New Roman"/>
          <w:b/>
          <w:lang w:val="uk-UA"/>
        </w:rPr>
      </w:pPr>
      <w:r w:rsidRPr="009E2AF9">
        <w:rPr>
          <w:rFonts w:ascii="Times New Roman" w:hAnsi="Times New Roman"/>
          <w:b/>
          <w:lang w:val="uk-UA"/>
        </w:rPr>
        <w:tab/>
      </w:r>
      <w:r w:rsidR="00415967">
        <w:rPr>
          <w:rFonts w:ascii="Times New Roman" w:hAnsi="Times New Roman"/>
          <w:b/>
          <w:lang w:val="uk-UA"/>
        </w:rPr>
        <w:tab/>
      </w:r>
    </w:p>
    <w:p w14:paraId="40AB2CB5" w14:textId="75830453" w:rsidR="00222CC5" w:rsidRDefault="003D1403" w:rsidP="00222CC5">
      <w:pPr>
        <w:tabs>
          <w:tab w:val="num" w:pos="540"/>
          <w:tab w:val="left" w:pos="720"/>
        </w:tabs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9465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222CC5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П О Я С Н </w:t>
      </w:r>
      <w:r w:rsidR="006C06A0">
        <w:rPr>
          <w:rFonts w:ascii="Times New Roman" w:hAnsi="Times New Roman"/>
          <w:b/>
          <w:sz w:val="28"/>
          <w:szCs w:val="28"/>
          <w:lang w:val="uk-UA"/>
        </w:rPr>
        <w:t xml:space="preserve">Ю </w:t>
      </w:r>
      <w:proofErr w:type="spellStart"/>
      <w:r w:rsidR="006C06A0">
        <w:rPr>
          <w:rFonts w:ascii="Times New Roman" w:hAnsi="Times New Roman"/>
          <w:b/>
          <w:sz w:val="28"/>
          <w:szCs w:val="28"/>
          <w:lang w:val="uk-UA"/>
        </w:rPr>
        <w:t>Ю</w:t>
      </w:r>
      <w:proofErr w:type="spellEnd"/>
      <w:r w:rsidR="006C06A0">
        <w:rPr>
          <w:rFonts w:ascii="Times New Roman" w:hAnsi="Times New Roman"/>
          <w:b/>
          <w:sz w:val="28"/>
          <w:szCs w:val="28"/>
          <w:lang w:val="uk-UA"/>
        </w:rPr>
        <w:t xml:space="preserve"> Ч А</w:t>
      </w:r>
    </w:p>
    <w:p w14:paraId="3F95BF37" w14:textId="0E2C82B7" w:rsidR="00222CC5" w:rsidRDefault="00222CC5" w:rsidP="00222CC5">
      <w:pPr>
        <w:tabs>
          <w:tab w:val="num" w:pos="540"/>
          <w:tab w:val="left" w:pos="720"/>
        </w:tabs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до виконання сільського бюджету за І </w:t>
      </w:r>
      <w:r w:rsidR="00ED7C06">
        <w:rPr>
          <w:rFonts w:ascii="Times New Roman" w:hAnsi="Times New Roman"/>
          <w:b/>
          <w:sz w:val="28"/>
          <w:szCs w:val="28"/>
          <w:lang w:val="uk-UA"/>
        </w:rPr>
        <w:t>квартал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202</w:t>
      </w:r>
      <w:r w:rsidR="00AF1CC5">
        <w:rPr>
          <w:rFonts w:ascii="Times New Roman" w:hAnsi="Times New Roman"/>
          <w:b/>
          <w:sz w:val="28"/>
          <w:szCs w:val="28"/>
          <w:lang w:val="uk-UA"/>
        </w:rPr>
        <w:t>3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року</w:t>
      </w:r>
    </w:p>
    <w:p w14:paraId="11148219" w14:textId="77777777" w:rsidR="00222CC5" w:rsidRDefault="00222CC5" w:rsidP="00150541">
      <w:pPr>
        <w:tabs>
          <w:tab w:val="num" w:pos="540"/>
          <w:tab w:val="left" w:pos="720"/>
        </w:tabs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694DA440" w14:textId="3C36089E" w:rsidR="00415967" w:rsidRDefault="00222CC5" w:rsidP="00150541">
      <w:pPr>
        <w:tabs>
          <w:tab w:val="num" w:pos="540"/>
          <w:tab w:val="left" w:pos="720"/>
        </w:tabs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</w:t>
      </w:r>
      <w:r w:rsidR="00676511" w:rsidRPr="00676511">
        <w:rPr>
          <w:rFonts w:ascii="Times New Roman" w:hAnsi="Times New Roman"/>
          <w:bCs/>
          <w:sz w:val="28"/>
          <w:szCs w:val="28"/>
          <w:lang w:val="uk-UA"/>
        </w:rPr>
        <w:t xml:space="preserve">За І </w:t>
      </w:r>
      <w:r w:rsidR="00ED7C06">
        <w:rPr>
          <w:rFonts w:ascii="Times New Roman" w:hAnsi="Times New Roman"/>
          <w:bCs/>
          <w:sz w:val="28"/>
          <w:szCs w:val="28"/>
          <w:lang w:val="uk-UA"/>
        </w:rPr>
        <w:t xml:space="preserve">квартал </w:t>
      </w:r>
      <w:r w:rsidR="00676511" w:rsidRPr="00676511">
        <w:rPr>
          <w:rFonts w:ascii="Times New Roman" w:hAnsi="Times New Roman"/>
          <w:bCs/>
          <w:sz w:val="28"/>
          <w:szCs w:val="28"/>
          <w:lang w:val="uk-UA"/>
        </w:rPr>
        <w:t>202</w:t>
      </w:r>
      <w:r w:rsidR="00722016">
        <w:rPr>
          <w:rFonts w:ascii="Times New Roman" w:hAnsi="Times New Roman"/>
          <w:bCs/>
          <w:sz w:val="28"/>
          <w:szCs w:val="28"/>
          <w:lang w:val="uk-UA"/>
        </w:rPr>
        <w:t>3</w:t>
      </w:r>
      <w:r w:rsidR="00676511" w:rsidRPr="00676511">
        <w:rPr>
          <w:rFonts w:ascii="Times New Roman" w:hAnsi="Times New Roman"/>
          <w:bCs/>
          <w:sz w:val="28"/>
          <w:szCs w:val="28"/>
          <w:lang w:val="uk-UA"/>
        </w:rPr>
        <w:t xml:space="preserve"> року до</w:t>
      </w:r>
      <w:r w:rsidR="00E23E70">
        <w:rPr>
          <w:rFonts w:ascii="Times New Roman" w:hAnsi="Times New Roman"/>
          <w:bCs/>
          <w:sz w:val="28"/>
          <w:szCs w:val="28"/>
          <w:lang w:val="uk-UA"/>
        </w:rPr>
        <w:t xml:space="preserve"> загального фонду</w:t>
      </w:r>
      <w:r w:rsidR="00676511" w:rsidRPr="00676511">
        <w:rPr>
          <w:rFonts w:ascii="Times New Roman" w:hAnsi="Times New Roman"/>
          <w:bCs/>
          <w:sz w:val="28"/>
          <w:szCs w:val="28"/>
          <w:lang w:val="uk-UA"/>
        </w:rPr>
        <w:t xml:space="preserve"> сільського бюджету </w:t>
      </w:r>
      <w:r w:rsidR="00676511">
        <w:rPr>
          <w:rFonts w:ascii="Times New Roman" w:hAnsi="Times New Roman"/>
          <w:bCs/>
          <w:sz w:val="28"/>
          <w:szCs w:val="28"/>
          <w:lang w:val="uk-UA"/>
        </w:rPr>
        <w:t xml:space="preserve">надійшло </w:t>
      </w:r>
      <w:r w:rsidR="000F5596">
        <w:rPr>
          <w:rFonts w:ascii="Times New Roman" w:hAnsi="Times New Roman"/>
          <w:bCs/>
          <w:sz w:val="28"/>
          <w:szCs w:val="28"/>
          <w:lang w:val="uk-UA"/>
        </w:rPr>
        <w:t xml:space="preserve">35880,2 тис. гривень, з яких </w:t>
      </w:r>
      <w:r w:rsidR="00ED7C06">
        <w:rPr>
          <w:rFonts w:ascii="Times New Roman" w:hAnsi="Times New Roman"/>
          <w:bCs/>
          <w:sz w:val="28"/>
          <w:szCs w:val="28"/>
          <w:lang w:val="uk-UA"/>
        </w:rPr>
        <w:t>27</w:t>
      </w:r>
      <w:r w:rsidR="00F82483">
        <w:rPr>
          <w:rFonts w:ascii="Times New Roman" w:hAnsi="Times New Roman"/>
          <w:bCs/>
          <w:sz w:val="28"/>
          <w:szCs w:val="28"/>
          <w:lang w:val="uk-UA"/>
        </w:rPr>
        <w:t>338</w:t>
      </w:r>
      <w:r w:rsidR="00ED7C06">
        <w:rPr>
          <w:rFonts w:ascii="Times New Roman" w:hAnsi="Times New Roman"/>
          <w:bCs/>
          <w:sz w:val="28"/>
          <w:szCs w:val="28"/>
          <w:lang w:val="uk-UA"/>
        </w:rPr>
        <w:t>,</w:t>
      </w:r>
      <w:r w:rsidR="00F82483">
        <w:rPr>
          <w:rFonts w:ascii="Times New Roman" w:hAnsi="Times New Roman"/>
          <w:bCs/>
          <w:sz w:val="28"/>
          <w:szCs w:val="28"/>
          <w:lang w:val="uk-UA"/>
        </w:rPr>
        <w:t>4</w:t>
      </w:r>
      <w:r w:rsidR="00676511">
        <w:rPr>
          <w:rFonts w:ascii="Times New Roman" w:hAnsi="Times New Roman"/>
          <w:bCs/>
          <w:sz w:val="28"/>
          <w:szCs w:val="28"/>
          <w:lang w:val="uk-UA"/>
        </w:rPr>
        <w:t xml:space="preserve"> тис. гривень</w:t>
      </w:r>
      <w:r w:rsidR="00526DB4">
        <w:rPr>
          <w:rFonts w:ascii="Times New Roman" w:hAnsi="Times New Roman"/>
          <w:bCs/>
          <w:sz w:val="28"/>
          <w:szCs w:val="28"/>
          <w:lang w:val="uk-UA"/>
        </w:rPr>
        <w:t xml:space="preserve"> доходів від податків, зборів та неподаткових надходжень</w:t>
      </w:r>
      <w:r w:rsidR="00676511">
        <w:rPr>
          <w:rFonts w:ascii="Times New Roman" w:hAnsi="Times New Roman"/>
          <w:bCs/>
          <w:sz w:val="28"/>
          <w:szCs w:val="28"/>
          <w:lang w:val="uk-UA"/>
        </w:rPr>
        <w:t xml:space="preserve">, що становить </w:t>
      </w:r>
      <w:r w:rsidR="00F13322">
        <w:rPr>
          <w:rFonts w:ascii="Times New Roman" w:hAnsi="Times New Roman"/>
          <w:bCs/>
          <w:sz w:val="28"/>
          <w:szCs w:val="28"/>
          <w:lang w:val="uk-UA"/>
        </w:rPr>
        <w:t>126</w:t>
      </w:r>
      <w:r w:rsidR="00676511">
        <w:rPr>
          <w:rFonts w:ascii="Times New Roman" w:hAnsi="Times New Roman"/>
          <w:bCs/>
          <w:sz w:val="28"/>
          <w:szCs w:val="28"/>
          <w:lang w:val="uk-UA"/>
        </w:rPr>
        <w:t xml:space="preserve"> відсотків до планових кошторисних призначень на звітний період та </w:t>
      </w:r>
      <w:r w:rsidR="00F82483">
        <w:rPr>
          <w:rFonts w:ascii="Times New Roman" w:hAnsi="Times New Roman"/>
          <w:bCs/>
          <w:sz w:val="28"/>
          <w:szCs w:val="28"/>
          <w:lang w:val="uk-UA"/>
        </w:rPr>
        <w:t>22</w:t>
      </w:r>
      <w:r w:rsidR="00ED7C06">
        <w:rPr>
          <w:rFonts w:ascii="Times New Roman" w:hAnsi="Times New Roman"/>
          <w:bCs/>
          <w:sz w:val="28"/>
          <w:szCs w:val="28"/>
          <w:lang w:val="uk-UA"/>
        </w:rPr>
        <w:t>,</w:t>
      </w:r>
      <w:r w:rsidR="00F82483">
        <w:rPr>
          <w:rFonts w:ascii="Times New Roman" w:hAnsi="Times New Roman"/>
          <w:bCs/>
          <w:sz w:val="28"/>
          <w:szCs w:val="28"/>
          <w:lang w:val="uk-UA"/>
        </w:rPr>
        <w:t>7</w:t>
      </w:r>
      <w:r w:rsidR="00ED7C06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676511">
        <w:rPr>
          <w:rFonts w:ascii="Times New Roman" w:hAnsi="Times New Roman"/>
          <w:bCs/>
          <w:sz w:val="28"/>
          <w:szCs w:val="28"/>
          <w:lang w:val="uk-UA"/>
        </w:rPr>
        <w:t>відсотк</w:t>
      </w:r>
      <w:r w:rsidR="00ED7C06">
        <w:rPr>
          <w:rFonts w:ascii="Times New Roman" w:hAnsi="Times New Roman"/>
          <w:bCs/>
          <w:sz w:val="28"/>
          <w:szCs w:val="28"/>
          <w:lang w:val="uk-UA"/>
        </w:rPr>
        <w:t>ів</w:t>
      </w:r>
      <w:r w:rsidR="00676511">
        <w:rPr>
          <w:rFonts w:ascii="Times New Roman" w:hAnsi="Times New Roman"/>
          <w:bCs/>
          <w:sz w:val="28"/>
          <w:szCs w:val="28"/>
          <w:lang w:val="uk-UA"/>
        </w:rPr>
        <w:t xml:space="preserve"> до річних планових показників</w:t>
      </w:r>
      <w:r w:rsidR="000F5596">
        <w:rPr>
          <w:rFonts w:ascii="Times New Roman" w:hAnsi="Times New Roman"/>
          <w:bCs/>
          <w:sz w:val="28"/>
          <w:szCs w:val="28"/>
          <w:lang w:val="uk-UA"/>
        </w:rPr>
        <w:t>, 8527.7 тис. гривень субвенцій і дотацій з державного бюджету та 14.1 тис. гривень субвенції з обласного бюджету.</w:t>
      </w:r>
    </w:p>
    <w:p w14:paraId="4499E06A" w14:textId="77777777" w:rsidR="003C4478" w:rsidRDefault="00DC4614" w:rsidP="00150541">
      <w:pPr>
        <w:tabs>
          <w:tab w:val="num" w:pos="540"/>
          <w:tab w:val="left" w:pos="720"/>
        </w:tabs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Найбільшу питому вагу в доходах займа</w:t>
      </w:r>
      <w:r w:rsidR="003C4478">
        <w:rPr>
          <w:rFonts w:ascii="Times New Roman" w:hAnsi="Times New Roman"/>
          <w:bCs/>
          <w:sz w:val="28"/>
          <w:szCs w:val="28"/>
          <w:lang w:val="uk-UA"/>
        </w:rPr>
        <w:t>ють:</w:t>
      </w:r>
    </w:p>
    <w:p w14:paraId="783BA4C6" w14:textId="0F0C5E60" w:rsidR="00DC4614" w:rsidRDefault="00DC4614" w:rsidP="003C4478">
      <w:pPr>
        <w:pStyle w:val="a7"/>
        <w:numPr>
          <w:ilvl w:val="0"/>
          <w:numId w:val="1"/>
        </w:numPr>
        <w:tabs>
          <w:tab w:val="num" w:pos="540"/>
          <w:tab w:val="left" w:pos="720"/>
        </w:tabs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3C4478">
        <w:rPr>
          <w:rFonts w:ascii="Times New Roman" w:hAnsi="Times New Roman"/>
          <w:bCs/>
          <w:sz w:val="28"/>
          <w:szCs w:val="28"/>
          <w:lang w:val="uk-UA"/>
        </w:rPr>
        <w:t xml:space="preserve">податок на доходи фізичних осіб </w:t>
      </w:r>
      <w:r w:rsidR="003C4478" w:rsidRPr="003C4478">
        <w:rPr>
          <w:rFonts w:ascii="Times New Roman" w:hAnsi="Times New Roman"/>
          <w:bCs/>
          <w:sz w:val="28"/>
          <w:szCs w:val="28"/>
          <w:lang w:val="uk-UA"/>
        </w:rPr>
        <w:t>–</w:t>
      </w:r>
      <w:r w:rsidRPr="003C4478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2D4996">
        <w:rPr>
          <w:rFonts w:ascii="Times New Roman" w:hAnsi="Times New Roman"/>
          <w:bCs/>
          <w:sz w:val="28"/>
          <w:szCs w:val="28"/>
          <w:lang w:val="uk-UA"/>
        </w:rPr>
        <w:t>8484,2</w:t>
      </w:r>
      <w:r w:rsidR="003C4478" w:rsidRPr="003C4478">
        <w:rPr>
          <w:rFonts w:ascii="Times New Roman" w:hAnsi="Times New Roman"/>
          <w:bCs/>
          <w:sz w:val="28"/>
          <w:szCs w:val="28"/>
          <w:lang w:val="uk-UA"/>
        </w:rPr>
        <w:t xml:space="preserve"> тис. гривень, або</w:t>
      </w:r>
      <w:r w:rsidR="002D4996">
        <w:rPr>
          <w:rFonts w:ascii="Times New Roman" w:hAnsi="Times New Roman"/>
          <w:bCs/>
          <w:sz w:val="28"/>
          <w:szCs w:val="28"/>
          <w:lang w:val="uk-UA"/>
        </w:rPr>
        <w:t xml:space="preserve"> 31</w:t>
      </w:r>
      <w:r w:rsidR="00ED7C06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3C4478" w:rsidRPr="003C4478">
        <w:rPr>
          <w:rFonts w:ascii="Times New Roman" w:hAnsi="Times New Roman"/>
          <w:bCs/>
          <w:sz w:val="28"/>
          <w:szCs w:val="28"/>
          <w:lang w:val="uk-UA"/>
        </w:rPr>
        <w:t>відсотків</w:t>
      </w:r>
      <w:r w:rsidR="003C4478">
        <w:rPr>
          <w:rFonts w:ascii="Times New Roman" w:hAnsi="Times New Roman"/>
          <w:bCs/>
          <w:sz w:val="28"/>
          <w:szCs w:val="28"/>
          <w:lang w:val="uk-UA"/>
        </w:rPr>
        <w:t>;</w:t>
      </w:r>
    </w:p>
    <w:p w14:paraId="2B2E6995" w14:textId="6EFB99BB" w:rsidR="003C4478" w:rsidRDefault="003C4478" w:rsidP="003C4478">
      <w:pPr>
        <w:pStyle w:val="a7"/>
        <w:numPr>
          <w:ilvl w:val="0"/>
          <w:numId w:val="1"/>
        </w:numPr>
        <w:tabs>
          <w:tab w:val="num" w:pos="540"/>
          <w:tab w:val="left" w:pos="720"/>
        </w:tabs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акцизний податок з реалізації суб</w:t>
      </w:r>
      <w:r w:rsidRPr="003C4478">
        <w:rPr>
          <w:rFonts w:ascii="Times New Roman" w:hAnsi="Times New Roman"/>
          <w:bCs/>
          <w:sz w:val="28"/>
          <w:szCs w:val="28"/>
          <w:lang w:val="uk-UA"/>
        </w:rPr>
        <w:t>`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єктами господарювання роздрібної торгівлі підакцизних товарів – </w:t>
      </w:r>
      <w:r w:rsidR="002D4996">
        <w:rPr>
          <w:rFonts w:ascii="Times New Roman" w:hAnsi="Times New Roman"/>
          <w:bCs/>
          <w:sz w:val="28"/>
          <w:szCs w:val="28"/>
          <w:lang w:val="uk-UA"/>
        </w:rPr>
        <w:t>4370,3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тис.</w:t>
      </w:r>
      <w:r w:rsidR="00464018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гривень або </w:t>
      </w:r>
      <w:r w:rsidR="002D4996">
        <w:rPr>
          <w:rFonts w:ascii="Times New Roman" w:hAnsi="Times New Roman"/>
          <w:bCs/>
          <w:sz w:val="28"/>
          <w:szCs w:val="28"/>
          <w:lang w:val="uk-UA"/>
        </w:rPr>
        <w:t>16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відсоток;</w:t>
      </w:r>
    </w:p>
    <w:p w14:paraId="75574710" w14:textId="2FA163C9" w:rsidR="003C4478" w:rsidRDefault="003C4478" w:rsidP="003C4478">
      <w:pPr>
        <w:pStyle w:val="a7"/>
        <w:numPr>
          <w:ilvl w:val="0"/>
          <w:numId w:val="1"/>
        </w:numPr>
        <w:tabs>
          <w:tab w:val="num" w:pos="540"/>
          <w:tab w:val="left" w:pos="720"/>
        </w:tabs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місцеві податки та збори – </w:t>
      </w:r>
      <w:r w:rsidR="002D4996">
        <w:rPr>
          <w:rFonts w:ascii="Times New Roman" w:hAnsi="Times New Roman"/>
          <w:bCs/>
          <w:sz w:val="28"/>
          <w:szCs w:val="28"/>
          <w:lang w:val="uk-UA"/>
        </w:rPr>
        <w:t>11834,2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тис.</w:t>
      </w:r>
      <w:r w:rsidR="00464018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>гривень, або</w:t>
      </w:r>
      <w:r w:rsidR="00ED7C06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2D4996">
        <w:rPr>
          <w:rFonts w:ascii="Times New Roman" w:hAnsi="Times New Roman"/>
          <w:bCs/>
          <w:sz w:val="28"/>
          <w:szCs w:val="28"/>
          <w:lang w:val="uk-UA"/>
        </w:rPr>
        <w:t>43,3</w:t>
      </w:r>
      <w:r w:rsidR="00ED7C06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>відсотків;</w:t>
      </w:r>
    </w:p>
    <w:p w14:paraId="5327FE80" w14:textId="21E854CA" w:rsidR="003C4478" w:rsidRDefault="003C4478" w:rsidP="003C4478">
      <w:pPr>
        <w:pStyle w:val="a7"/>
        <w:numPr>
          <w:ilvl w:val="0"/>
          <w:numId w:val="1"/>
        </w:numPr>
        <w:tabs>
          <w:tab w:val="num" w:pos="540"/>
          <w:tab w:val="left" w:pos="720"/>
        </w:tabs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рентна плата за спеціальне використання лісових ресурсів – </w:t>
      </w:r>
      <w:r w:rsidR="002D4996">
        <w:rPr>
          <w:rFonts w:ascii="Times New Roman" w:hAnsi="Times New Roman"/>
          <w:bCs/>
          <w:sz w:val="28"/>
          <w:szCs w:val="28"/>
          <w:lang w:val="uk-UA"/>
        </w:rPr>
        <w:t>1580,6</w:t>
      </w:r>
      <w:r w:rsidR="00ED7C06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тис. гривень, або </w:t>
      </w:r>
      <w:r w:rsidR="00ED7C06">
        <w:rPr>
          <w:rFonts w:ascii="Times New Roman" w:hAnsi="Times New Roman"/>
          <w:bCs/>
          <w:sz w:val="28"/>
          <w:szCs w:val="28"/>
          <w:lang w:val="uk-UA"/>
        </w:rPr>
        <w:t>5,</w:t>
      </w:r>
      <w:r w:rsidR="002D4996">
        <w:rPr>
          <w:rFonts w:ascii="Times New Roman" w:hAnsi="Times New Roman"/>
          <w:bCs/>
          <w:sz w:val="28"/>
          <w:szCs w:val="28"/>
          <w:lang w:val="uk-UA"/>
        </w:rPr>
        <w:t>8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відсотків.</w:t>
      </w:r>
    </w:p>
    <w:p w14:paraId="2412FA91" w14:textId="245511EB" w:rsidR="0049686F" w:rsidRDefault="002C7167" w:rsidP="0049686F">
      <w:pPr>
        <w:tabs>
          <w:tab w:val="num" w:pos="540"/>
          <w:tab w:val="left" w:pos="720"/>
        </w:tabs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                      </w:t>
      </w:r>
      <w:r w:rsidR="00681FA1">
        <w:rPr>
          <w:rFonts w:ascii="Times New Roman" w:hAnsi="Times New Roman"/>
          <w:bCs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noProof/>
          <w:sz w:val="28"/>
          <w:szCs w:val="28"/>
          <w:lang w:val="uk-UA"/>
        </w:rPr>
        <w:drawing>
          <wp:inline distT="0" distB="0" distL="0" distR="0" wp14:anchorId="7A13AF9B" wp14:editId="0C67C7B9">
            <wp:extent cx="6029325" cy="3467100"/>
            <wp:effectExtent l="0" t="0" r="952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39E1508" w14:textId="77777777" w:rsidR="00C55964" w:rsidRDefault="0049686F" w:rsidP="009B3619">
      <w:pPr>
        <w:tabs>
          <w:tab w:val="num" w:pos="540"/>
          <w:tab w:val="left" w:pos="720"/>
        </w:tabs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lastRenderedPageBreak/>
        <w:t xml:space="preserve">                      </w:t>
      </w:r>
    </w:p>
    <w:p w14:paraId="296C8584" w14:textId="5B03D9CF" w:rsidR="009B3619" w:rsidRDefault="0049686F" w:rsidP="009B3619">
      <w:pPr>
        <w:tabs>
          <w:tab w:val="num" w:pos="540"/>
          <w:tab w:val="left" w:pos="720"/>
        </w:tabs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  Із загального фонду сільського бюджету у І </w:t>
      </w:r>
      <w:r w:rsidR="00ED7C06">
        <w:rPr>
          <w:rFonts w:ascii="Times New Roman" w:hAnsi="Times New Roman"/>
          <w:bCs/>
          <w:sz w:val="28"/>
          <w:szCs w:val="28"/>
          <w:lang w:val="uk-UA"/>
        </w:rPr>
        <w:t>кварталі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202</w:t>
      </w:r>
      <w:r w:rsidR="009D04FD">
        <w:rPr>
          <w:rFonts w:ascii="Times New Roman" w:hAnsi="Times New Roman"/>
          <w:bCs/>
          <w:sz w:val="28"/>
          <w:szCs w:val="28"/>
          <w:lang w:val="uk-UA"/>
        </w:rPr>
        <w:t>3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року проведено  видатків на суму </w:t>
      </w:r>
      <w:r w:rsidR="009D04FD">
        <w:rPr>
          <w:rFonts w:ascii="Times New Roman" w:hAnsi="Times New Roman"/>
          <w:bCs/>
          <w:sz w:val="28"/>
          <w:szCs w:val="28"/>
          <w:lang w:val="uk-UA"/>
        </w:rPr>
        <w:t>30524,0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тис. гривень, з яких</w:t>
      </w:r>
      <w:r w:rsidR="00B66F2B">
        <w:rPr>
          <w:rFonts w:ascii="Times New Roman" w:hAnsi="Times New Roman"/>
          <w:bCs/>
          <w:sz w:val="28"/>
          <w:szCs w:val="28"/>
          <w:lang w:val="uk-UA"/>
        </w:rPr>
        <w:t xml:space="preserve"> за рахунок субвенці</w:t>
      </w:r>
      <w:r w:rsidR="006907EA">
        <w:rPr>
          <w:rFonts w:ascii="Times New Roman" w:hAnsi="Times New Roman"/>
          <w:bCs/>
          <w:sz w:val="28"/>
          <w:szCs w:val="28"/>
          <w:lang w:val="uk-UA"/>
        </w:rPr>
        <w:t xml:space="preserve">й </w:t>
      </w:r>
      <w:r w:rsidR="00B66F2B">
        <w:rPr>
          <w:rFonts w:ascii="Times New Roman" w:hAnsi="Times New Roman"/>
          <w:bCs/>
          <w:sz w:val="28"/>
          <w:szCs w:val="28"/>
          <w:lang w:val="uk-UA"/>
        </w:rPr>
        <w:t>з державного бюджету</w:t>
      </w:r>
      <w:r w:rsidR="006D1826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1A5FAD" w:rsidRPr="001A5FAD">
        <w:rPr>
          <w:rFonts w:ascii="Times New Roman" w:hAnsi="Times New Roman"/>
          <w:bCs/>
          <w:sz w:val="28"/>
          <w:szCs w:val="28"/>
        </w:rPr>
        <w:t>6</w:t>
      </w:r>
      <w:r w:rsidR="001A5FAD">
        <w:rPr>
          <w:rFonts w:ascii="Times New Roman" w:hAnsi="Times New Roman"/>
          <w:bCs/>
          <w:sz w:val="28"/>
          <w:szCs w:val="28"/>
        </w:rPr>
        <w:t> </w:t>
      </w:r>
      <w:r w:rsidR="001A5FAD" w:rsidRPr="001A5FAD">
        <w:rPr>
          <w:rFonts w:ascii="Times New Roman" w:hAnsi="Times New Roman"/>
          <w:bCs/>
          <w:sz w:val="28"/>
          <w:szCs w:val="28"/>
        </w:rPr>
        <w:t>507</w:t>
      </w:r>
      <w:r w:rsidR="001A5FAD">
        <w:rPr>
          <w:rFonts w:ascii="Times New Roman" w:hAnsi="Times New Roman"/>
          <w:bCs/>
          <w:sz w:val="28"/>
          <w:szCs w:val="28"/>
          <w:lang w:val="uk-UA"/>
        </w:rPr>
        <w:t>,</w:t>
      </w:r>
      <w:r w:rsidR="001A5FAD" w:rsidRPr="001A5FAD">
        <w:rPr>
          <w:rFonts w:ascii="Times New Roman" w:hAnsi="Times New Roman"/>
          <w:bCs/>
          <w:sz w:val="28"/>
          <w:szCs w:val="28"/>
        </w:rPr>
        <w:t>3</w:t>
      </w:r>
      <w:r w:rsidR="006907EA">
        <w:rPr>
          <w:rFonts w:ascii="Times New Roman" w:hAnsi="Times New Roman"/>
          <w:bCs/>
          <w:sz w:val="28"/>
          <w:szCs w:val="28"/>
          <w:lang w:val="uk-UA"/>
        </w:rPr>
        <w:t xml:space="preserve"> тис. гривень</w:t>
      </w:r>
      <w:r w:rsidR="00464018">
        <w:rPr>
          <w:rFonts w:ascii="Times New Roman" w:hAnsi="Times New Roman"/>
          <w:bCs/>
          <w:sz w:val="28"/>
          <w:szCs w:val="28"/>
          <w:lang w:val="uk-UA"/>
        </w:rPr>
        <w:t xml:space="preserve"> та рахунок доходів місцевого бюджету </w:t>
      </w:r>
      <w:r w:rsidR="00C73618">
        <w:rPr>
          <w:rFonts w:ascii="Times New Roman" w:hAnsi="Times New Roman"/>
          <w:bCs/>
          <w:sz w:val="28"/>
          <w:szCs w:val="28"/>
          <w:lang w:val="uk-UA"/>
        </w:rPr>
        <w:t>–</w:t>
      </w:r>
      <w:r w:rsidR="00464018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1A5FAD" w:rsidRPr="001A5FAD">
        <w:rPr>
          <w:rFonts w:ascii="Times New Roman" w:hAnsi="Times New Roman"/>
          <w:bCs/>
          <w:sz w:val="28"/>
          <w:szCs w:val="28"/>
        </w:rPr>
        <w:t>24016</w:t>
      </w:r>
      <w:r w:rsidR="001A5FAD">
        <w:rPr>
          <w:rFonts w:ascii="Times New Roman" w:hAnsi="Times New Roman"/>
          <w:bCs/>
          <w:sz w:val="28"/>
          <w:szCs w:val="28"/>
          <w:lang w:val="uk-UA"/>
        </w:rPr>
        <w:t>,</w:t>
      </w:r>
      <w:r w:rsidR="001A5FAD" w:rsidRPr="001A5FAD">
        <w:rPr>
          <w:rFonts w:ascii="Times New Roman" w:hAnsi="Times New Roman"/>
          <w:bCs/>
          <w:sz w:val="28"/>
          <w:szCs w:val="28"/>
        </w:rPr>
        <w:t xml:space="preserve">7 </w:t>
      </w:r>
      <w:r w:rsidR="00C06E1F">
        <w:rPr>
          <w:rFonts w:ascii="Times New Roman" w:hAnsi="Times New Roman"/>
          <w:bCs/>
          <w:sz w:val="28"/>
          <w:szCs w:val="28"/>
          <w:lang w:val="uk-UA"/>
        </w:rPr>
        <w:t>т</w:t>
      </w:r>
      <w:r w:rsidR="00C73618">
        <w:rPr>
          <w:rFonts w:ascii="Times New Roman" w:hAnsi="Times New Roman"/>
          <w:bCs/>
          <w:sz w:val="28"/>
          <w:szCs w:val="28"/>
          <w:lang w:val="uk-UA"/>
        </w:rPr>
        <w:t>ис.</w:t>
      </w:r>
      <w:r w:rsidR="006D1826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C73618">
        <w:rPr>
          <w:rFonts w:ascii="Times New Roman" w:hAnsi="Times New Roman"/>
          <w:bCs/>
          <w:sz w:val="28"/>
          <w:szCs w:val="28"/>
          <w:lang w:val="uk-UA"/>
        </w:rPr>
        <w:t>гривень</w:t>
      </w:r>
      <w:r>
        <w:rPr>
          <w:rFonts w:ascii="Times New Roman" w:hAnsi="Times New Roman"/>
          <w:bCs/>
          <w:sz w:val="28"/>
          <w:szCs w:val="28"/>
          <w:lang w:val="uk-UA"/>
        </w:rPr>
        <w:t>:</w:t>
      </w:r>
    </w:p>
    <w:p w14:paraId="2A21FF3A" w14:textId="59FC66B3" w:rsidR="0049686F" w:rsidRDefault="0049686F" w:rsidP="009B3619">
      <w:pPr>
        <w:pStyle w:val="a7"/>
        <w:numPr>
          <w:ilvl w:val="0"/>
          <w:numId w:val="1"/>
        </w:numPr>
        <w:tabs>
          <w:tab w:val="num" w:pos="540"/>
          <w:tab w:val="left" w:pos="720"/>
        </w:tabs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9B3619">
        <w:rPr>
          <w:rFonts w:ascii="Times New Roman" w:hAnsi="Times New Roman"/>
          <w:bCs/>
          <w:sz w:val="28"/>
          <w:szCs w:val="28"/>
          <w:lang w:val="uk-UA"/>
        </w:rPr>
        <w:t xml:space="preserve">на оплату праці </w:t>
      </w:r>
      <w:r w:rsidR="006E3921">
        <w:rPr>
          <w:rFonts w:ascii="Times New Roman" w:hAnsi="Times New Roman"/>
          <w:bCs/>
          <w:sz w:val="28"/>
          <w:szCs w:val="28"/>
          <w:lang w:val="uk-UA"/>
        </w:rPr>
        <w:t>1</w:t>
      </w:r>
      <w:r w:rsidR="009D04FD">
        <w:rPr>
          <w:rFonts w:ascii="Times New Roman" w:hAnsi="Times New Roman"/>
          <w:bCs/>
          <w:sz w:val="28"/>
          <w:szCs w:val="28"/>
          <w:lang w:val="uk-UA"/>
        </w:rPr>
        <w:t>9515,8</w:t>
      </w:r>
      <w:r w:rsidRPr="009B3619">
        <w:rPr>
          <w:rFonts w:ascii="Times New Roman" w:hAnsi="Times New Roman"/>
          <w:bCs/>
          <w:sz w:val="28"/>
          <w:szCs w:val="28"/>
          <w:lang w:val="uk-UA"/>
        </w:rPr>
        <w:t xml:space="preserve"> тис. гривень або </w:t>
      </w:r>
      <w:r w:rsidR="0099387B">
        <w:rPr>
          <w:rFonts w:ascii="Times New Roman" w:hAnsi="Times New Roman"/>
          <w:bCs/>
          <w:sz w:val="28"/>
          <w:szCs w:val="28"/>
          <w:lang w:val="uk-UA"/>
        </w:rPr>
        <w:t>64,</w:t>
      </w:r>
      <w:r w:rsidR="00582A8B">
        <w:rPr>
          <w:rFonts w:ascii="Times New Roman" w:hAnsi="Times New Roman"/>
          <w:bCs/>
          <w:sz w:val="28"/>
          <w:szCs w:val="28"/>
          <w:lang w:val="uk-UA"/>
        </w:rPr>
        <w:t>2</w:t>
      </w:r>
      <w:r w:rsidR="009B3619" w:rsidRPr="009B3619">
        <w:rPr>
          <w:rFonts w:ascii="Times New Roman" w:hAnsi="Times New Roman"/>
          <w:bCs/>
          <w:sz w:val="28"/>
          <w:szCs w:val="28"/>
          <w:lang w:val="uk-UA"/>
        </w:rPr>
        <w:t xml:space="preserve"> відсот</w:t>
      </w:r>
      <w:r w:rsidR="006E3921">
        <w:rPr>
          <w:rFonts w:ascii="Times New Roman" w:hAnsi="Times New Roman"/>
          <w:bCs/>
          <w:sz w:val="28"/>
          <w:szCs w:val="28"/>
          <w:lang w:val="uk-UA"/>
        </w:rPr>
        <w:t>ки</w:t>
      </w:r>
      <w:r w:rsidR="009B3619" w:rsidRPr="009B3619">
        <w:rPr>
          <w:rFonts w:ascii="Times New Roman" w:hAnsi="Times New Roman"/>
          <w:bCs/>
          <w:sz w:val="28"/>
          <w:szCs w:val="28"/>
          <w:lang w:val="uk-UA"/>
        </w:rPr>
        <w:t>;</w:t>
      </w:r>
    </w:p>
    <w:p w14:paraId="11A103CA" w14:textId="1B6ACB59" w:rsidR="009B3619" w:rsidRPr="009B3619" w:rsidRDefault="009B3619" w:rsidP="009B3619">
      <w:pPr>
        <w:pStyle w:val="a7"/>
        <w:numPr>
          <w:ilvl w:val="0"/>
          <w:numId w:val="1"/>
        </w:numPr>
        <w:tabs>
          <w:tab w:val="num" w:pos="540"/>
          <w:tab w:val="left" w:pos="720"/>
        </w:tabs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на утримання комунальних підприємств – </w:t>
      </w:r>
      <w:r w:rsidR="0099387B">
        <w:rPr>
          <w:rFonts w:ascii="Times New Roman" w:hAnsi="Times New Roman"/>
          <w:bCs/>
          <w:sz w:val="28"/>
          <w:szCs w:val="28"/>
          <w:lang w:val="uk-UA"/>
        </w:rPr>
        <w:t>3178,2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тис. гривень, або </w:t>
      </w:r>
      <w:r w:rsidR="00582A8B">
        <w:rPr>
          <w:rFonts w:ascii="Times New Roman" w:hAnsi="Times New Roman"/>
          <w:bCs/>
          <w:sz w:val="28"/>
          <w:szCs w:val="28"/>
          <w:lang w:val="uk-UA"/>
        </w:rPr>
        <w:t>9,8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відсотк</w:t>
      </w:r>
      <w:r w:rsidR="00C06E1F">
        <w:rPr>
          <w:rFonts w:ascii="Times New Roman" w:hAnsi="Times New Roman"/>
          <w:bCs/>
          <w:sz w:val="28"/>
          <w:szCs w:val="28"/>
          <w:lang w:val="uk-UA"/>
        </w:rPr>
        <w:t>и</w:t>
      </w:r>
      <w:r>
        <w:rPr>
          <w:rFonts w:ascii="Times New Roman" w:hAnsi="Times New Roman"/>
          <w:bCs/>
          <w:sz w:val="28"/>
          <w:szCs w:val="28"/>
          <w:lang w:val="uk-UA"/>
        </w:rPr>
        <w:t>;</w:t>
      </w:r>
    </w:p>
    <w:p w14:paraId="04B7F8B3" w14:textId="284195BF" w:rsidR="009B3619" w:rsidRDefault="009B3619" w:rsidP="0049686F">
      <w:pPr>
        <w:pStyle w:val="a7"/>
        <w:numPr>
          <w:ilvl w:val="0"/>
          <w:numId w:val="1"/>
        </w:numPr>
        <w:tabs>
          <w:tab w:val="num" w:pos="540"/>
          <w:tab w:val="left" w:pos="720"/>
        </w:tabs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на оплату комунальних послуг та енергоносіїв – </w:t>
      </w:r>
      <w:r w:rsidR="0099387B">
        <w:rPr>
          <w:rFonts w:ascii="Times New Roman" w:hAnsi="Times New Roman"/>
          <w:bCs/>
          <w:sz w:val="28"/>
          <w:szCs w:val="28"/>
          <w:lang w:val="uk-UA"/>
        </w:rPr>
        <w:t>2287,8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тис. гривень, або </w:t>
      </w:r>
      <w:r w:rsidR="0099387B">
        <w:rPr>
          <w:rFonts w:ascii="Times New Roman" w:hAnsi="Times New Roman"/>
          <w:bCs/>
          <w:sz w:val="28"/>
          <w:szCs w:val="28"/>
          <w:lang w:val="uk-UA"/>
        </w:rPr>
        <w:t>7,</w:t>
      </w:r>
      <w:r w:rsidR="00582A8B">
        <w:rPr>
          <w:rFonts w:ascii="Times New Roman" w:hAnsi="Times New Roman"/>
          <w:bCs/>
          <w:sz w:val="28"/>
          <w:szCs w:val="28"/>
          <w:lang w:val="uk-UA"/>
        </w:rPr>
        <w:t>3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відсотків;</w:t>
      </w:r>
    </w:p>
    <w:p w14:paraId="2188EBE3" w14:textId="5B1CF556" w:rsidR="004016EC" w:rsidRDefault="009B3619" w:rsidP="006E3921">
      <w:pPr>
        <w:pStyle w:val="a7"/>
        <w:numPr>
          <w:ilvl w:val="0"/>
          <w:numId w:val="1"/>
        </w:numPr>
        <w:tabs>
          <w:tab w:val="num" w:pos="540"/>
          <w:tab w:val="left" w:pos="720"/>
        </w:tabs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 придбання предметів, матеріалів, інвентаря та оплату послуг, окрім комунальних – </w:t>
      </w:r>
      <w:r w:rsidR="009D04FD">
        <w:rPr>
          <w:rFonts w:ascii="Times New Roman" w:hAnsi="Times New Roman"/>
          <w:bCs/>
          <w:sz w:val="28"/>
          <w:szCs w:val="28"/>
          <w:lang w:val="uk-UA"/>
        </w:rPr>
        <w:t>1222,60</w:t>
      </w:r>
      <w:r w:rsidRPr="006E3921">
        <w:rPr>
          <w:rFonts w:ascii="Times New Roman" w:hAnsi="Times New Roman"/>
          <w:bCs/>
          <w:sz w:val="28"/>
          <w:szCs w:val="28"/>
          <w:lang w:val="uk-UA"/>
        </w:rPr>
        <w:t xml:space="preserve"> тис. гривень або </w:t>
      </w:r>
      <w:r w:rsidR="00582A8B">
        <w:rPr>
          <w:rFonts w:ascii="Times New Roman" w:hAnsi="Times New Roman"/>
          <w:bCs/>
          <w:sz w:val="28"/>
          <w:szCs w:val="28"/>
          <w:lang w:val="uk-UA"/>
        </w:rPr>
        <w:t>3,9</w:t>
      </w:r>
      <w:r w:rsidRPr="006E3921">
        <w:rPr>
          <w:rFonts w:ascii="Times New Roman" w:hAnsi="Times New Roman"/>
          <w:bCs/>
          <w:sz w:val="28"/>
          <w:szCs w:val="28"/>
          <w:lang w:val="uk-UA"/>
        </w:rPr>
        <w:t xml:space="preserve"> відсотків.</w:t>
      </w:r>
    </w:p>
    <w:p w14:paraId="34F98577" w14:textId="13E77E32" w:rsidR="00005141" w:rsidRDefault="00005141" w:rsidP="00005141">
      <w:pPr>
        <w:tabs>
          <w:tab w:val="num" w:pos="540"/>
          <w:tab w:val="left" w:pos="720"/>
        </w:tabs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bookmarkStart w:id="0" w:name="_GoBack"/>
      <w:bookmarkEnd w:id="0"/>
    </w:p>
    <w:p w14:paraId="32E10B6C" w14:textId="7E7FFE1B" w:rsidR="00005141" w:rsidRDefault="00005141" w:rsidP="00005141">
      <w:pPr>
        <w:tabs>
          <w:tab w:val="num" w:pos="540"/>
          <w:tab w:val="left" w:pos="720"/>
        </w:tabs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0F4443C7" w14:textId="77777777" w:rsidR="00005141" w:rsidRPr="00005141" w:rsidRDefault="00005141" w:rsidP="00005141">
      <w:pPr>
        <w:tabs>
          <w:tab w:val="num" w:pos="540"/>
          <w:tab w:val="left" w:pos="720"/>
        </w:tabs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35C5B5B7" w14:textId="65031894" w:rsidR="00C1184C" w:rsidRDefault="00C1184C" w:rsidP="000119C7">
      <w:pPr>
        <w:pStyle w:val="a7"/>
        <w:tabs>
          <w:tab w:val="left" w:pos="-142"/>
        </w:tabs>
        <w:spacing w:after="0"/>
        <w:ind w:left="426" w:hanging="426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6DCF21F6" w14:textId="29FEAB9F" w:rsidR="004016EC" w:rsidRDefault="00BA597C" w:rsidP="004016EC">
      <w:pPr>
        <w:tabs>
          <w:tab w:val="num" w:pos="540"/>
          <w:tab w:val="left" w:pos="720"/>
        </w:tabs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noProof/>
          <w:sz w:val="28"/>
          <w:szCs w:val="28"/>
          <w:lang w:val="uk-UA"/>
        </w:rPr>
        <w:drawing>
          <wp:inline distT="0" distB="0" distL="0" distR="0" wp14:anchorId="2A0AB4C6" wp14:editId="724BC91A">
            <wp:extent cx="6010275" cy="3419475"/>
            <wp:effectExtent l="0" t="0" r="9525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51992A8" w14:textId="77777777" w:rsidR="00005141" w:rsidRDefault="00005141" w:rsidP="00655BA2">
      <w:pPr>
        <w:tabs>
          <w:tab w:val="num" w:pos="540"/>
          <w:tab w:val="left" w:pos="720"/>
        </w:tabs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19563400" w14:textId="77777777" w:rsidR="00005141" w:rsidRDefault="00005141" w:rsidP="00655BA2">
      <w:pPr>
        <w:tabs>
          <w:tab w:val="num" w:pos="540"/>
          <w:tab w:val="left" w:pos="720"/>
        </w:tabs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2A158A51" w14:textId="77777777" w:rsidR="00005141" w:rsidRDefault="00005141" w:rsidP="00655BA2">
      <w:pPr>
        <w:tabs>
          <w:tab w:val="num" w:pos="540"/>
          <w:tab w:val="left" w:pos="720"/>
        </w:tabs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0DDDE3E6" w14:textId="77777777" w:rsidR="00005141" w:rsidRDefault="00005141" w:rsidP="00655BA2">
      <w:pPr>
        <w:tabs>
          <w:tab w:val="num" w:pos="540"/>
          <w:tab w:val="left" w:pos="720"/>
        </w:tabs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0E550814" w14:textId="77777777" w:rsidR="00005141" w:rsidRDefault="00005141" w:rsidP="00655BA2">
      <w:pPr>
        <w:tabs>
          <w:tab w:val="num" w:pos="540"/>
          <w:tab w:val="left" w:pos="720"/>
        </w:tabs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45A9290A" w14:textId="77777777" w:rsidR="00005141" w:rsidRDefault="00005141" w:rsidP="00655BA2">
      <w:pPr>
        <w:tabs>
          <w:tab w:val="num" w:pos="540"/>
          <w:tab w:val="left" w:pos="720"/>
        </w:tabs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53BB0989" w14:textId="6F23A621" w:rsidR="00433184" w:rsidRPr="005F6DCA" w:rsidRDefault="003D1403" w:rsidP="00655BA2">
      <w:pPr>
        <w:tabs>
          <w:tab w:val="num" w:pos="540"/>
          <w:tab w:val="left" w:pos="720"/>
        </w:tabs>
        <w:spacing w:after="0"/>
        <w:jc w:val="both"/>
        <w:rPr>
          <w:rFonts w:ascii="Times New Roman" w:hAnsi="Times New Roman"/>
          <w:color w:val="000000"/>
          <w:sz w:val="20"/>
          <w:szCs w:val="20"/>
          <w:lang w:val="uk-UA" w:eastAsia="uk-UA"/>
        </w:rPr>
      </w:pPr>
      <w:r w:rsidRPr="00494659">
        <w:rPr>
          <w:rFonts w:ascii="Times New Roman" w:hAnsi="Times New Roman"/>
          <w:b/>
          <w:sz w:val="28"/>
          <w:szCs w:val="28"/>
          <w:lang w:val="uk-UA"/>
        </w:rPr>
        <w:t>Начальник фінансового відділу                                                 Ганна Бойчук</w:t>
      </w:r>
      <w:r w:rsidR="00433184" w:rsidRPr="00433184">
        <w:rPr>
          <w:rFonts w:ascii="Times New Roman" w:hAnsi="Times New Roman"/>
          <w:color w:val="000000"/>
          <w:sz w:val="20"/>
          <w:szCs w:val="20"/>
          <w:lang w:val="uk-UA" w:eastAsia="uk-UA"/>
        </w:rPr>
        <w:t xml:space="preserve">                                                                               </w:t>
      </w:r>
    </w:p>
    <w:sectPr w:rsidR="00433184" w:rsidRPr="005F6DCA" w:rsidSect="00655BA2">
      <w:pgSz w:w="11906" w:h="16838"/>
      <w:pgMar w:top="709" w:right="851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D72FC1"/>
    <w:multiLevelType w:val="hybridMultilevel"/>
    <w:tmpl w:val="0E72AC80"/>
    <w:lvl w:ilvl="0" w:tplc="E93660F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0541"/>
    <w:rsid w:val="00005141"/>
    <w:rsid w:val="000077EB"/>
    <w:rsid w:val="000119C7"/>
    <w:rsid w:val="00012291"/>
    <w:rsid w:val="00051953"/>
    <w:rsid w:val="00067599"/>
    <w:rsid w:val="00071690"/>
    <w:rsid w:val="000E3C71"/>
    <w:rsid w:val="000F5596"/>
    <w:rsid w:val="00143CBB"/>
    <w:rsid w:val="00150541"/>
    <w:rsid w:val="00182868"/>
    <w:rsid w:val="00185DFC"/>
    <w:rsid w:val="001A5FAD"/>
    <w:rsid w:val="002110A7"/>
    <w:rsid w:val="00222CC5"/>
    <w:rsid w:val="00235DB1"/>
    <w:rsid w:val="0028183B"/>
    <w:rsid w:val="002B167B"/>
    <w:rsid w:val="002C7167"/>
    <w:rsid w:val="002D4996"/>
    <w:rsid w:val="00376279"/>
    <w:rsid w:val="003B2A3E"/>
    <w:rsid w:val="003C4478"/>
    <w:rsid w:val="003C65B4"/>
    <w:rsid w:val="003D1403"/>
    <w:rsid w:val="004016EC"/>
    <w:rsid w:val="00415967"/>
    <w:rsid w:val="00433184"/>
    <w:rsid w:val="00464018"/>
    <w:rsid w:val="00494659"/>
    <w:rsid w:val="0049686F"/>
    <w:rsid w:val="004F4E4E"/>
    <w:rsid w:val="004F614E"/>
    <w:rsid w:val="00526DB4"/>
    <w:rsid w:val="00544B43"/>
    <w:rsid w:val="00582A8B"/>
    <w:rsid w:val="0058577E"/>
    <w:rsid w:val="005D149F"/>
    <w:rsid w:val="005F6DCA"/>
    <w:rsid w:val="00655BA2"/>
    <w:rsid w:val="00676511"/>
    <w:rsid w:val="00681FA1"/>
    <w:rsid w:val="006907EA"/>
    <w:rsid w:val="0069596E"/>
    <w:rsid w:val="006C06A0"/>
    <w:rsid w:val="006D1826"/>
    <w:rsid w:val="006E3921"/>
    <w:rsid w:val="00722016"/>
    <w:rsid w:val="00743778"/>
    <w:rsid w:val="0075751B"/>
    <w:rsid w:val="0077617B"/>
    <w:rsid w:val="00787722"/>
    <w:rsid w:val="0078775A"/>
    <w:rsid w:val="00800B5F"/>
    <w:rsid w:val="00866C03"/>
    <w:rsid w:val="00936B2D"/>
    <w:rsid w:val="0093799E"/>
    <w:rsid w:val="0099387B"/>
    <w:rsid w:val="009A05EE"/>
    <w:rsid w:val="009A1AAF"/>
    <w:rsid w:val="009B3619"/>
    <w:rsid w:val="009D04FD"/>
    <w:rsid w:val="009E2AF9"/>
    <w:rsid w:val="00A13DB5"/>
    <w:rsid w:val="00AF1CC5"/>
    <w:rsid w:val="00B035E6"/>
    <w:rsid w:val="00B66F2B"/>
    <w:rsid w:val="00B863AD"/>
    <w:rsid w:val="00BA597C"/>
    <w:rsid w:val="00C06E1F"/>
    <w:rsid w:val="00C1184C"/>
    <w:rsid w:val="00C34583"/>
    <w:rsid w:val="00C55964"/>
    <w:rsid w:val="00C6403E"/>
    <w:rsid w:val="00C73618"/>
    <w:rsid w:val="00CC0E72"/>
    <w:rsid w:val="00CF133C"/>
    <w:rsid w:val="00D160CD"/>
    <w:rsid w:val="00D22C12"/>
    <w:rsid w:val="00D84729"/>
    <w:rsid w:val="00DC4614"/>
    <w:rsid w:val="00DD06AC"/>
    <w:rsid w:val="00E23E6C"/>
    <w:rsid w:val="00E23E70"/>
    <w:rsid w:val="00E44C76"/>
    <w:rsid w:val="00E94FCA"/>
    <w:rsid w:val="00ED7C06"/>
    <w:rsid w:val="00ED7CD4"/>
    <w:rsid w:val="00F13322"/>
    <w:rsid w:val="00F82483"/>
    <w:rsid w:val="00FB1AD8"/>
    <w:rsid w:val="00FE4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E9CC9F2"/>
  <w15:docId w15:val="{F85267BB-7DB9-4913-A701-2012924F5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50541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0541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1505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50541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a6">
    <w:name w:val="Hyperlink"/>
    <w:basedOn w:val="a0"/>
    <w:uiPriority w:val="99"/>
    <w:unhideWhenUsed/>
    <w:rsid w:val="00C6403E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3C44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1" u="none" strike="noStrike" kern="1200" baseline="0">
                <a:solidFill>
                  <a:srgbClr val="00B050"/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r>
              <a:rPr lang="uk-UA" b="1" i="1" baseline="0">
                <a:solidFill>
                  <a:srgbClr val="00B050"/>
                </a:solidFill>
                <a:latin typeface="Times New Roman" panose="02020603050405020304" pitchFamily="18" charset="0"/>
              </a:rPr>
              <a:t>Доходи сільського бюджету</a:t>
            </a:r>
            <a:endParaRPr lang="ru-RU" b="1" i="1" baseline="0">
              <a:solidFill>
                <a:srgbClr val="00B050"/>
              </a:solidFill>
              <a:latin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26111629411252502"/>
          <c:y val="2.19780219780219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1" u="none" strike="noStrike" kern="1200" baseline="0">
              <a:solidFill>
                <a:srgbClr val="00B050"/>
              </a:solidFill>
              <a:latin typeface="Times New Roman" panose="02020603050405020304" pitchFamily="18" charset="0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8.7118873174028597E-2"/>
          <c:y val="0.16883562631594132"/>
          <c:w val="0.3665732067851708"/>
          <c:h val="0.63747483487640966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E747-4CBE-A711-C748EDD2458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E747-4CBE-A711-C748EDD2458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4-E747-4CBE-A711-C748EDD2458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C112-47FB-BB8B-1FD7F9B21256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2-E747-4CBE-A711-C748EDD24584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31</a:t>
                    </a:r>
                  </a:p>
                </c:rich>
              </c:tx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747-4CBE-A711-C748EDD24584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16</a:t>
                    </a:r>
                  </a:p>
                  <a:p>
                    <a:endParaRPr lang="en-US"/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747-4CBE-A711-C748EDD24584}"/>
                </c:ext>
              </c:extLst>
            </c:dLbl>
            <c:dLbl>
              <c:idx val="2"/>
              <c:layout>
                <c:manualLayout>
                  <c:x val="0.11345283261393274"/>
                  <c:y val="-2.552940497822394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43,3</a:t>
                    </a:r>
                    <a:endParaRPr lang="en-US" baseline="0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E747-4CBE-A711-C748EDD24584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5,8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C112-47FB-BB8B-1FD7F9B21256}"/>
                </c:ext>
              </c:extLst>
            </c:dLbl>
            <c:dLbl>
              <c:idx val="4"/>
              <c:layout>
                <c:manualLayout>
                  <c:x val="7.9544559299755783E-3"/>
                  <c:y val="0.1999247209483430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3,9</a:t>
                    </a:r>
                    <a:endParaRPr lang="en-US" baseline="0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747-4CBE-A711-C748EDD24584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ПДФО</c:v>
                </c:pt>
                <c:pt idx="1">
                  <c:v>Акцизний податок</c:v>
                </c:pt>
                <c:pt idx="2">
                  <c:v>Місцеві податки і збори</c:v>
                </c:pt>
                <c:pt idx="3">
                  <c:v>Рентна плата</c:v>
                </c:pt>
                <c:pt idx="4">
                  <c:v>Інші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37</c:v>
                </c:pt>
                <c:pt idx="1">
                  <c:v>21.1</c:v>
                </c:pt>
                <c:pt idx="2">
                  <c:v>30.9</c:v>
                </c:pt>
                <c:pt idx="3">
                  <c:v>10.3</c:v>
                </c:pt>
                <c:pt idx="4">
                  <c:v>0.7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747-4CBE-A711-C748EDD24584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0698983717082766"/>
          <c:y val="0.13846038475959735"/>
          <c:w val="0.39090379105455419"/>
          <c:h val="0.76328055146952767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1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Times New Roman" panose="02020603050405020304" pitchFamily="18" charset="0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uk-UA" baseline="0">
                <a:solidFill>
                  <a:schemeClr val="tx1"/>
                </a:solidFill>
              </a:rPr>
              <a:t>Видатки сільського бюджету</a:t>
            </a:r>
            <a:endParaRPr lang="ru-RU" baseline="0">
              <a:solidFill>
                <a:schemeClr val="tx1"/>
              </a:solidFill>
            </a:endParaRPr>
          </a:p>
        </c:rich>
      </c:tx>
      <c:layout>
        <c:manualLayout>
          <c:xMode val="edge"/>
          <c:yMode val="edge"/>
          <c:x val="0.31929298931973127"/>
          <c:y val="1.851868516435444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1642-449B-B305-D3A08828188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1642-449B-B305-D3A08828188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1642-449B-B305-D3A088281888}"/>
              </c:ext>
            </c:extLst>
          </c:dPt>
          <c:dPt>
            <c:idx val="3"/>
            <c:bubble3D val="0"/>
            <c:explosion val="22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1642-449B-B305-D3A088281888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1642-449B-B305-D3A088281888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64,2</a:t>
                    </a:r>
                    <a:endParaRPr lang="en-US" baseline="0"/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642-449B-B305-D3A088281888}"/>
                </c:ext>
              </c:extLst>
            </c:dLbl>
            <c:dLbl>
              <c:idx val="1"/>
              <c:layout>
                <c:manualLayout>
                  <c:x val="0.13568398289836409"/>
                  <c:y val="7.9994000749906258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00" b="1" i="0" u="none" strike="noStrike" kern="1200" baseline="0">
                        <a:solidFill>
                          <a:schemeClr val="l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9,8</a:t>
                    </a:r>
                  </a:p>
                  <a:p>
                    <a:pPr>
                      <a:defRPr/>
                    </a:pPr>
                    <a:endParaRPr lang="en-US" baseline="0"/>
                  </a:p>
                </c:rich>
              </c:tx>
              <c:spPr>
                <a:pattFill prst="pct75">
                  <a:fgClr>
                    <a:schemeClr val="dk1">
                      <a:lumMod val="75000"/>
                      <a:lumOff val="25000"/>
                    </a:schemeClr>
                  </a:fgClr>
                  <a:bgClr>
                    <a:schemeClr val="dk1">
                      <a:lumMod val="65000"/>
                      <a:lumOff val="35000"/>
                    </a:schemeClr>
                  </a:bgClr>
                </a:pattFill>
                <a:ln>
                  <a:noFill/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6645702306079649E-2"/>
                      <c:h val="8.6391534391534394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1642-449B-B305-D3A088281888}"/>
                </c:ext>
              </c:extLst>
            </c:dLbl>
            <c:dLbl>
              <c:idx val="2"/>
              <c:layout>
                <c:manualLayout>
                  <c:x val="5.4564783175687942E-2"/>
                  <c:y val="0.11117910261217348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7,3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642-449B-B305-D3A088281888}"/>
                </c:ext>
              </c:extLst>
            </c:dLbl>
            <c:dLbl>
              <c:idx val="3"/>
              <c:layout>
                <c:manualLayout>
                  <c:x val="3.7629871737730899E-2"/>
                  <c:y val="7.9407407407407413E-2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3,9</a:t>
                    </a:r>
                  </a:p>
                  <a:p>
                    <a:endParaRPr lang="en-US" baseline="0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1642-449B-B305-D3A088281888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 baseline="0"/>
                      <a:t>14,8</a:t>
                    </a:r>
                  </a:p>
                  <a:p>
                    <a:endParaRPr lang="en-US"/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1642-449B-B305-D3A088281888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Оплата праці</c:v>
                </c:pt>
                <c:pt idx="1">
                  <c:v>Утримання комунальних підприємств</c:v>
                </c:pt>
                <c:pt idx="2">
                  <c:v>Комунальні послуги,енергоносії</c:v>
                </c:pt>
                <c:pt idx="3">
                  <c:v>Придбання предметів та оплата послуг</c:v>
                </c:pt>
                <c:pt idx="4">
                  <c:v>Інші видатки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74.599999999999994</c:v>
                </c:pt>
                <c:pt idx="1">
                  <c:v>12.9</c:v>
                </c:pt>
                <c:pt idx="2">
                  <c:v>5.7</c:v>
                </c:pt>
                <c:pt idx="3">
                  <c:v>3.8</c:v>
                </c:pt>
                <c:pt idx="4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1642-449B-B305-D3A088281888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0071394721493143"/>
          <c:y val="0.15917416572928383"/>
          <c:w val="0.38539716389617962"/>
          <c:h val="0.78869516310461196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Times New Roman" panose="02020603050405020304" pitchFamily="18" charset="0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AA64D-7703-4822-AFE3-65007E92D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2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Пользователь</cp:lastModifiedBy>
  <cp:revision>75</cp:revision>
  <cp:lastPrinted>2023-05-02T06:32:00Z</cp:lastPrinted>
  <dcterms:created xsi:type="dcterms:W3CDTF">2021-01-12T12:08:00Z</dcterms:created>
  <dcterms:modified xsi:type="dcterms:W3CDTF">2023-05-02T06:54:00Z</dcterms:modified>
</cp:coreProperties>
</file>