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7148" w:rsidRDefault="00A60224">
      <w:pPr>
        <w:shd w:val="clear" w:color="auto" w:fill="FFFFFF"/>
        <w:spacing w:before="240" w:after="240" w:line="240" w:lineRule="auto"/>
        <w:ind w:right="30"/>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ЗАЯВА</w:t>
      </w:r>
    </w:p>
    <w:p w:rsidR="00D37148" w:rsidRDefault="00A60224">
      <w:pPr>
        <w:shd w:val="clear" w:color="auto" w:fill="FFFFFF"/>
        <w:spacing w:before="240" w:after="240" w:line="240" w:lineRule="auto"/>
        <w:ind w:right="30"/>
        <w:jc w:val="center"/>
        <w:rPr>
          <w:rFonts w:ascii="Times New Roman" w:eastAsia="Times New Roman" w:hAnsi="Times New Roman" w:cs="Times New Roman"/>
          <w:b/>
          <w:i/>
          <w:sz w:val="26"/>
          <w:szCs w:val="26"/>
        </w:rPr>
      </w:pPr>
      <w:r>
        <w:rPr>
          <w:rFonts w:ascii="Times New Roman" w:eastAsia="Times New Roman" w:hAnsi="Times New Roman" w:cs="Times New Roman"/>
          <w:b/>
          <w:sz w:val="28"/>
          <w:szCs w:val="28"/>
        </w:rPr>
        <w:t>про визначення обсягу стратегічної екологічної оцінки</w:t>
      </w:r>
      <w:r>
        <w:rPr>
          <w:rFonts w:ascii="Times New Roman" w:eastAsia="Times New Roman" w:hAnsi="Times New Roman" w:cs="Times New Roman"/>
          <w:b/>
          <w:sz w:val="28"/>
          <w:szCs w:val="28"/>
        </w:rPr>
        <w:br/>
        <w:t>документу державного планування</w:t>
      </w:r>
      <w:r>
        <w:rPr>
          <w:rFonts w:ascii="Times New Roman" w:eastAsia="Times New Roman" w:hAnsi="Times New Roman" w:cs="Times New Roman"/>
          <w:b/>
          <w:sz w:val="28"/>
          <w:szCs w:val="28"/>
        </w:rPr>
        <w:br/>
      </w:r>
      <w:r>
        <w:rPr>
          <w:rFonts w:ascii="Times New Roman" w:eastAsia="Times New Roman" w:hAnsi="Times New Roman" w:cs="Times New Roman"/>
          <w:b/>
          <w:i/>
          <w:sz w:val="26"/>
          <w:szCs w:val="26"/>
        </w:rPr>
        <w:t xml:space="preserve">“Проект внесення змін до генерального плану села Поляниця Поляницької ТГ надвірнянського району Івано-Франківської області суміщені з детальним планом території земельних ділянок в урочищі «Вишні» для нового будівництва об’єктів туристичної інфраструктури </w:t>
      </w:r>
      <w:r>
        <w:rPr>
          <w:rFonts w:ascii="Times New Roman" w:eastAsia="Times New Roman" w:hAnsi="Times New Roman" w:cs="Times New Roman"/>
          <w:b/>
          <w:i/>
          <w:sz w:val="26"/>
          <w:szCs w:val="26"/>
        </w:rPr>
        <w:t xml:space="preserve"> та закладів громадського харчування”</w:t>
      </w:r>
    </w:p>
    <w:p w:rsidR="00D37148" w:rsidRDefault="00D37148">
      <w:pPr>
        <w:shd w:val="clear" w:color="auto" w:fill="FFFFFF"/>
        <w:spacing w:before="240" w:after="240" w:line="240" w:lineRule="auto"/>
        <w:ind w:right="30"/>
        <w:jc w:val="center"/>
        <w:rPr>
          <w:rFonts w:ascii="Times New Roman" w:eastAsia="Times New Roman" w:hAnsi="Times New Roman" w:cs="Times New Roman"/>
          <w:b/>
          <w:color w:val="FF0000"/>
          <w:sz w:val="28"/>
          <w:szCs w:val="28"/>
        </w:rPr>
      </w:pPr>
    </w:p>
    <w:p w:rsidR="00D37148" w:rsidRDefault="00A60224">
      <w:pPr>
        <w:shd w:val="clear" w:color="auto" w:fill="FFFFFF"/>
        <w:spacing w:before="240" w:after="60" w:line="240" w:lineRule="auto"/>
        <w:ind w:right="3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Загальні положення</w:t>
      </w:r>
    </w:p>
    <w:p w:rsidR="00D37148" w:rsidRDefault="00A60224">
      <w:pPr>
        <w:shd w:val="clear" w:color="auto" w:fill="FFFFFF"/>
        <w:spacing w:before="240" w:after="60" w:line="240" w:lineRule="auto"/>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Цей документ складено згідно вимог ст. 10 Закону України “Про стратегічну екологічну оцінку”.</w:t>
      </w:r>
    </w:p>
    <w:p w:rsidR="00D37148" w:rsidRDefault="00A60224">
      <w:pPr>
        <w:shd w:val="clear" w:color="auto" w:fill="FFFFFF"/>
        <w:spacing w:before="240" w:after="60" w:line="240" w:lineRule="auto"/>
        <w:ind w:right="3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Замовник СЕО та виконавець</w:t>
      </w:r>
    </w:p>
    <w:p w:rsidR="00D37148" w:rsidRDefault="00A60224">
      <w:pPr>
        <w:spacing w:line="240" w:lineRule="auto"/>
        <w:ind w:right="3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Замовником ДДП </w:t>
      </w:r>
      <w:r>
        <w:rPr>
          <w:rFonts w:ascii="Times New Roman" w:eastAsia="Times New Roman" w:hAnsi="Times New Roman" w:cs="Times New Roman"/>
          <w:b/>
          <w:i/>
          <w:sz w:val="24"/>
          <w:szCs w:val="24"/>
        </w:rPr>
        <w:t>“Проект внесення змін до генерального плану села Поляниця П</w:t>
      </w:r>
      <w:r>
        <w:rPr>
          <w:rFonts w:ascii="Times New Roman" w:eastAsia="Times New Roman" w:hAnsi="Times New Roman" w:cs="Times New Roman"/>
          <w:b/>
          <w:i/>
          <w:sz w:val="24"/>
          <w:szCs w:val="24"/>
        </w:rPr>
        <w:t xml:space="preserve">оляницької ТГ надвірнянського району Івано-Франківської області суміщені з детальним планом території земельних ділянок в урочищі «Вишні» для нового будівництва об’єктів туристичної інфраструктури  та закладів громадського харчування” </w:t>
      </w:r>
      <w:r>
        <w:rPr>
          <w:rFonts w:ascii="Times New Roman" w:eastAsia="Times New Roman" w:hAnsi="Times New Roman" w:cs="Times New Roman"/>
          <w:sz w:val="24"/>
          <w:szCs w:val="24"/>
        </w:rPr>
        <w:t>(надалі - ДДП) є Поля</w:t>
      </w:r>
      <w:r>
        <w:rPr>
          <w:rFonts w:ascii="Times New Roman" w:eastAsia="Times New Roman" w:hAnsi="Times New Roman" w:cs="Times New Roman"/>
          <w:sz w:val="24"/>
          <w:szCs w:val="24"/>
        </w:rPr>
        <w:t xml:space="preserve">ницька сільська рада Івано-Франківської області Надвірнянського району, с. Поляниця, вул. Карпатська 1, 78593. Емейл: </w:t>
      </w:r>
      <w:hyperlink r:id="rId8">
        <w:r>
          <w:rPr>
            <w:rFonts w:ascii="Times New Roman" w:eastAsia="Times New Roman" w:hAnsi="Times New Roman" w:cs="Times New Roman"/>
            <w:sz w:val="24"/>
            <w:szCs w:val="24"/>
          </w:rPr>
          <w:t>polianytska.sr@gmail.com</w:t>
        </w:r>
      </w:hyperlink>
      <w:r>
        <w:rPr>
          <w:rFonts w:ascii="Times New Roman" w:eastAsia="Times New Roman" w:hAnsi="Times New Roman" w:cs="Times New Roman"/>
          <w:sz w:val="24"/>
          <w:szCs w:val="24"/>
        </w:rPr>
        <w:t>. Телефон: (03434) 37 - 2 - 40, (03434) 37 - 3 - 27.</w:t>
      </w:r>
    </w:p>
    <w:p w:rsidR="00D37148" w:rsidRDefault="00A60224">
      <w:pPr>
        <w:spacing w:line="240" w:lineRule="auto"/>
        <w:ind w:right="3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стратегічної екологічної оцінки – ФОП Бойко Олексій Юрійович (діє на підставі Свідоцтва про держреєстрацію № 20740000000009347 від 19.03.2007),  04111, м. Київ, вул. Щербаківського, 53в, кв.22.</w:t>
      </w:r>
    </w:p>
    <w:p w:rsidR="00D37148" w:rsidRDefault="00D37148">
      <w:pPr>
        <w:spacing w:after="40" w:line="240" w:lineRule="auto"/>
        <w:ind w:right="30" w:firstLine="720"/>
        <w:jc w:val="both"/>
        <w:rPr>
          <w:rFonts w:ascii="Times New Roman" w:eastAsia="Times New Roman" w:hAnsi="Times New Roman" w:cs="Times New Roman"/>
          <w:sz w:val="24"/>
          <w:szCs w:val="24"/>
        </w:rPr>
      </w:pPr>
    </w:p>
    <w:p w:rsidR="00D37148" w:rsidRDefault="00A60224">
      <w:pPr>
        <w:spacing w:after="40" w:line="240" w:lineRule="auto"/>
        <w:ind w:right="3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Вид та основні цілі документа державного планув</w:t>
      </w:r>
      <w:r>
        <w:rPr>
          <w:rFonts w:ascii="Times New Roman" w:eastAsia="Times New Roman" w:hAnsi="Times New Roman" w:cs="Times New Roman"/>
          <w:b/>
          <w:sz w:val="24"/>
          <w:szCs w:val="24"/>
        </w:rPr>
        <w:t>ання, його зв’язок з іншими документами державного планування</w:t>
      </w:r>
    </w:p>
    <w:p w:rsidR="00D37148" w:rsidRDefault="00A60224">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Генеральний план є містобудівною документацією місцевого рівня, яка призначена для обґрунтування довгострокової стратегії планування, забудови та іншого використання території, на якій реалізуют</w:t>
      </w:r>
      <w:r>
        <w:rPr>
          <w:rFonts w:ascii="Times New Roman" w:eastAsia="Times New Roman" w:hAnsi="Times New Roman" w:cs="Times New Roman"/>
          <w:sz w:val="24"/>
          <w:szCs w:val="24"/>
        </w:rPr>
        <w:t>ься повноваження Поляницької сільської ради Надвірнянського району Івано-Франківської області. Генеральний план території визначає основні принципи і напрямки планувальної організації та функціонального призначення території, формування системи громадськог</w:t>
      </w:r>
      <w:r>
        <w:rPr>
          <w:rFonts w:ascii="Times New Roman" w:eastAsia="Times New Roman" w:hAnsi="Times New Roman" w:cs="Times New Roman"/>
          <w:sz w:val="24"/>
          <w:szCs w:val="24"/>
        </w:rPr>
        <w:t>о обслуговування населення, організації інженерно-транспортної інфраструктури, інженерної підготовки і благоустрою, захисту території від небезпечних природних і техногенних процесів, охорони навколишнього природного середовища, охорони та збереження нерух</w:t>
      </w:r>
      <w:r>
        <w:rPr>
          <w:rFonts w:ascii="Times New Roman" w:eastAsia="Times New Roman" w:hAnsi="Times New Roman" w:cs="Times New Roman"/>
          <w:sz w:val="24"/>
          <w:szCs w:val="24"/>
        </w:rPr>
        <w:t>омих об’єктів культурної спадщини та пам’яток археології, традиційного характеру середовища історичних населених пунктів.</w:t>
      </w:r>
    </w:p>
    <w:p w:rsidR="00D37148" w:rsidRDefault="00A60224">
      <w:pPr>
        <w:spacing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Зміни до генерального плану села Поляниця стосуються окремої частини населеного пункту і пов’язані із зміною функціонального призначен</w:t>
      </w:r>
      <w:r>
        <w:rPr>
          <w:rFonts w:ascii="Times New Roman" w:eastAsia="Times New Roman" w:hAnsi="Times New Roman" w:cs="Times New Roman"/>
          <w:sz w:val="24"/>
          <w:szCs w:val="24"/>
        </w:rPr>
        <w:t>ня території та із зміною планувальних обмежень.</w:t>
      </w:r>
    </w:p>
    <w:p w:rsidR="00D37148" w:rsidRDefault="00A60224">
      <w:pPr>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Зміни до генерального плану села передбачають:</w:t>
      </w:r>
    </w:p>
    <w:p w:rsidR="00D37148" w:rsidRDefault="00A60224">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Зміну прибережно-захисної смуги струмка Яблуницький Прутець вздовж вул. Карпатської з урахуванням існуючої забудови;</w:t>
      </w:r>
    </w:p>
    <w:p w:rsidR="00D37148" w:rsidRDefault="00A60224">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Зміну цільового призначення території житлово-садибної забудови площею 1,3597 га на територію громадської забудови.</w:t>
      </w:r>
    </w:p>
    <w:p w:rsidR="00D37148" w:rsidRDefault="00A60224">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Детальний план території передбачає:</w:t>
      </w:r>
    </w:p>
    <w:p w:rsidR="00D37148" w:rsidRDefault="00A60224">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Зміну цільового призначення земельних ділянок житлово-садибної забудови (загальна площа 1,3375 га</w:t>
      </w:r>
      <w:r>
        <w:rPr>
          <w:rFonts w:ascii="Times New Roman" w:eastAsia="Times New Roman" w:hAnsi="Times New Roman" w:cs="Times New Roman"/>
          <w:sz w:val="24"/>
          <w:szCs w:val="24"/>
        </w:rPr>
        <w:t xml:space="preserve">) на територію громадського призначення (за класифікацією видів цільового </w:t>
      </w:r>
      <w:r>
        <w:rPr>
          <w:rFonts w:ascii="Times New Roman" w:eastAsia="Times New Roman" w:hAnsi="Times New Roman" w:cs="Times New Roman"/>
          <w:sz w:val="24"/>
          <w:szCs w:val="24"/>
        </w:rPr>
        <w:lastRenderedPageBreak/>
        <w:t>призначення земель - 03.08 "Для будівництва та обслуговування об'єктів туристичної інфраструктури та закладів громадського харчування"):</w:t>
      </w:r>
    </w:p>
    <w:p w:rsidR="00D37148" w:rsidRDefault="00A60224">
      <w:pPr>
        <w:shd w:val="clear" w:color="auto" w:fill="FFFFFF"/>
        <w:spacing w:after="75"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Ділянка 1: площа 0,0699 га, кадастровий ном</w:t>
      </w:r>
      <w:r>
        <w:rPr>
          <w:rFonts w:ascii="Times New Roman" w:eastAsia="Times New Roman" w:hAnsi="Times New Roman" w:cs="Times New Roman"/>
          <w:sz w:val="24"/>
          <w:szCs w:val="24"/>
        </w:rPr>
        <w:t>ер: 2611092001:22:002:3313, цільове призначення - 02.01 «для будівництва і обслуговування житлового будинку, господарських будівель і споруд (присадибна ділянка)»;</w:t>
      </w:r>
    </w:p>
    <w:p w:rsidR="00D37148" w:rsidRDefault="00A60224">
      <w:pPr>
        <w:shd w:val="clear" w:color="auto" w:fill="FFFFFF"/>
        <w:spacing w:after="75"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Ділянка 2: площа 0,1006 га, кадастровий номер: 2611092001:22:002:3158, цільове призначення</w:t>
      </w:r>
      <w:r>
        <w:rPr>
          <w:rFonts w:ascii="Times New Roman" w:eastAsia="Times New Roman" w:hAnsi="Times New Roman" w:cs="Times New Roman"/>
          <w:sz w:val="24"/>
          <w:szCs w:val="24"/>
        </w:rPr>
        <w:t xml:space="preserve"> - 02.01 «для будівництва і обслуговування житлового будинку, господарських будівель і споруд (присадибна ділянка)»;</w:t>
      </w:r>
    </w:p>
    <w:p w:rsidR="00D37148" w:rsidRDefault="00A60224">
      <w:pPr>
        <w:shd w:val="clear" w:color="auto" w:fill="FFFFFF"/>
        <w:spacing w:after="75"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Ділянка 3: площа 0,5 га, кадастровий номер: 2611092001:22:002:0155, цільове призначення - 02.01 «Для індивідуального житлового, гаражного</w:t>
      </w:r>
      <w:r>
        <w:rPr>
          <w:rFonts w:ascii="Times New Roman" w:eastAsia="Times New Roman" w:hAnsi="Times New Roman" w:cs="Times New Roman"/>
          <w:sz w:val="24"/>
          <w:szCs w:val="24"/>
        </w:rPr>
        <w:t xml:space="preserve"> і дачного будівництва будівництва і обслуговування житлового будинку, господарських будівель і споруд (присадибна ділянка)»;</w:t>
      </w:r>
    </w:p>
    <w:p w:rsidR="00D37148" w:rsidRDefault="00A60224">
      <w:pPr>
        <w:shd w:val="clear" w:color="auto" w:fill="FFFFFF"/>
        <w:spacing w:after="75"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Ділянка 4: площа 0,0674 га, кадастровий номер: 2611092001:22:002:0396, цільове призначення - 02.01 «Для індивідуального житловог</w:t>
      </w:r>
      <w:r>
        <w:rPr>
          <w:rFonts w:ascii="Times New Roman" w:eastAsia="Times New Roman" w:hAnsi="Times New Roman" w:cs="Times New Roman"/>
          <w:sz w:val="24"/>
          <w:szCs w:val="24"/>
        </w:rPr>
        <w:t>о, гаражного і дачного будівництва будівництва і обслуговування житлового будинку, господарських будівель і споруд (присадибна ділянка)»;</w:t>
      </w:r>
    </w:p>
    <w:p w:rsidR="00D37148" w:rsidRDefault="00A60224">
      <w:pPr>
        <w:shd w:val="clear" w:color="auto" w:fill="FFFFFF"/>
        <w:spacing w:after="75"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Ділянка 5: площа 0,209 га, кадастровий номер: 2611092001:22:002:3326, цільове призначення - 02.01 «для будівництва і</w:t>
      </w:r>
      <w:r>
        <w:rPr>
          <w:rFonts w:ascii="Times New Roman" w:eastAsia="Times New Roman" w:hAnsi="Times New Roman" w:cs="Times New Roman"/>
          <w:sz w:val="24"/>
          <w:szCs w:val="24"/>
        </w:rPr>
        <w:t xml:space="preserve"> обслуговування житлового будинку, господарських будівель і споруд (присадибна ділянка)»;</w:t>
      </w:r>
    </w:p>
    <w:p w:rsidR="00D37148" w:rsidRDefault="00A60224">
      <w:pPr>
        <w:shd w:val="clear" w:color="auto" w:fill="FFFFFF"/>
        <w:spacing w:after="75"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Ділянка 6: площа 0,0756 га, кадастровий номер: 2611092001:22:002:3270, цільове призначення - 02.01 «для будівництва і обслуговування житлового будинку, господарськи</w:t>
      </w:r>
      <w:r>
        <w:rPr>
          <w:rFonts w:ascii="Times New Roman" w:eastAsia="Times New Roman" w:hAnsi="Times New Roman" w:cs="Times New Roman"/>
          <w:sz w:val="24"/>
          <w:szCs w:val="24"/>
        </w:rPr>
        <w:t>х будівель і споруд (присадибна ділянка)»</w:t>
      </w:r>
    </w:p>
    <w:p w:rsidR="00D37148" w:rsidRDefault="00A60224">
      <w:pPr>
        <w:shd w:val="clear" w:color="auto" w:fill="FFFFFF"/>
        <w:spacing w:after="75"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Ділянка 7: площа 0,25 га, кадастровий номер: 2611092001:22:002:0395, цільове призначення - 02.01 «для будівництва і обслуговування житлового будинку, господарських будівель і споруд (присадибна ділянка)»;</w:t>
      </w:r>
    </w:p>
    <w:p w:rsidR="00D37148" w:rsidRDefault="00A60224">
      <w:pPr>
        <w:shd w:val="clear" w:color="auto" w:fill="FFFFFF"/>
        <w:spacing w:after="75"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Ділян</w:t>
      </w:r>
      <w:r>
        <w:rPr>
          <w:rFonts w:ascii="Times New Roman" w:eastAsia="Times New Roman" w:hAnsi="Times New Roman" w:cs="Times New Roman"/>
          <w:sz w:val="24"/>
          <w:szCs w:val="24"/>
        </w:rPr>
        <w:t>ка 8: площа  0,065 га, кадастровий номер: 2611092001:22:002:3159, цільове призначення - 02.01 «для будівництва і обслуговування житлового будинку, господарських будівель і споруд (присадибна ділянка)»;</w:t>
      </w:r>
    </w:p>
    <w:p w:rsidR="00D37148" w:rsidRDefault="00A60224">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Детальне розпланування території, що включає згадан</w:t>
      </w:r>
      <w:r>
        <w:rPr>
          <w:rFonts w:ascii="Times New Roman" w:eastAsia="Times New Roman" w:hAnsi="Times New Roman" w:cs="Times New Roman"/>
          <w:sz w:val="24"/>
          <w:szCs w:val="24"/>
        </w:rPr>
        <w:t>і ділянки,  для нового будівництва об’єктів туристичної інфраструктури та закладів громадського харчування, а саме: готельного комплексу (ділянки №№ 1 - 6 ) та готелю (ділянки №№ 7, 8).</w:t>
      </w:r>
    </w:p>
    <w:p w:rsidR="00D37148" w:rsidRDefault="00A60224">
      <w:pPr>
        <w:spacing w:line="240" w:lineRule="auto"/>
        <w:ind w:left="3" w:firstLine="5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 дії генерального плану із внесеною зміною – безстроковий.</w:t>
      </w:r>
    </w:p>
    <w:p w:rsidR="00D37148" w:rsidRDefault="00A60224">
      <w:pPr>
        <w:widowControl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w:t>
      </w:r>
      <w:r>
        <w:rPr>
          <w:rFonts w:ascii="Times New Roman" w:eastAsia="Times New Roman" w:hAnsi="Times New Roman" w:cs="Times New Roman"/>
          <w:sz w:val="24"/>
          <w:szCs w:val="24"/>
        </w:rPr>
        <w:t xml:space="preserve">бку змін до генерального плану виконано згідно наступних нормативних документів:  </w:t>
      </w:r>
    </w:p>
    <w:p w:rsidR="00D37148" w:rsidRDefault="00A60224">
      <w:pPr>
        <w:numPr>
          <w:ilvl w:val="0"/>
          <w:numId w:val="3"/>
        </w:numPr>
        <w:spacing w:line="240" w:lineRule="auto"/>
        <w:ind w:left="708"/>
        <w:jc w:val="both"/>
        <w:rPr>
          <w:rFonts w:ascii="Raleway" w:eastAsia="Raleway" w:hAnsi="Raleway" w:cs="Raleway"/>
        </w:rPr>
      </w:pPr>
      <w:r>
        <w:rPr>
          <w:rFonts w:ascii="Times New Roman" w:eastAsia="Times New Roman" w:hAnsi="Times New Roman" w:cs="Times New Roman"/>
          <w:sz w:val="24"/>
          <w:szCs w:val="24"/>
        </w:rPr>
        <w:t>Земельний Кодекс України;</w:t>
      </w:r>
    </w:p>
    <w:p w:rsidR="00D37148" w:rsidRDefault="00A60224">
      <w:pPr>
        <w:numPr>
          <w:ilvl w:val="0"/>
          <w:numId w:val="3"/>
        </w:numPr>
        <w:spacing w:line="240" w:lineRule="auto"/>
        <w:ind w:left="708"/>
        <w:jc w:val="both"/>
        <w:rPr>
          <w:rFonts w:ascii="Raleway" w:eastAsia="Raleway" w:hAnsi="Raleway" w:cs="Raleway"/>
        </w:rPr>
      </w:pPr>
      <w:r>
        <w:rPr>
          <w:rFonts w:ascii="Times New Roman" w:eastAsia="Times New Roman" w:hAnsi="Times New Roman" w:cs="Times New Roman"/>
          <w:sz w:val="24"/>
          <w:szCs w:val="24"/>
        </w:rPr>
        <w:t xml:space="preserve"> Водний Кодекс України;</w:t>
      </w:r>
    </w:p>
    <w:p w:rsidR="00D37148" w:rsidRDefault="00A60224">
      <w:pPr>
        <w:numPr>
          <w:ilvl w:val="0"/>
          <w:numId w:val="3"/>
        </w:numPr>
        <w:spacing w:line="240" w:lineRule="auto"/>
        <w:ind w:left="708"/>
        <w:jc w:val="both"/>
        <w:rPr>
          <w:rFonts w:ascii="Raleway" w:eastAsia="Raleway" w:hAnsi="Raleway" w:cs="Raleway"/>
        </w:rPr>
      </w:pPr>
      <w:r>
        <w:rPr>
          <w:rFonts w:ascii="Times New Roman" w:eastAsia="Times New Roman" w:hAnsi="Times New Roman" w:cs="Times New Roman"/>
          <w:sz w:val="24"/>
          <w:szCs w:val="24"/>
        </w:rPr>
        <w:t xml:space="preserve">Закон “Про місцеве самоврядування в Україні”; </w:t>
      </w:r>
    </w:p>
    <w:p w:rsidR="00D37148" w:rsidRDefault="00A60224">
      <w:pPr>
        <w:numPr>
          <w:ilvl w:val="0"/>
          <w:numId w:val="3"/>
        </w:numPr>
        <w:spacing w:line="240" w:lineRule="auto"/>
        <w:ind w:left="708"/>
        <w:jc w:val="both"/>
        <w:rPr>
          <w:rFonts w:ascii="Raleway" w:eastAsia="Raleway" w:hAnsi="Raleway" w:cs="Raleway"/>
        </w:rPr>
      </w:pPr>
      <w:r>
        <w:rPr>
          <w:rFonts w:ascii="Times New Roman" w:eastAsia="Times New Roman" w:hAnsi="Times New Roman" w:cs="Times New Roman"/>
          <w:sz w:val="24"/>
          <w:szCs w:val="24"/>
        </w:rPr>
        <w:t xml:space="preserve">Закон України “Про регулювання містобудівної діяльності”; </w:t>
      </w:r>
    </w:p>
    <w:p w:rsidR="00D37148" w:rsidRDefault="00A60224">
      <w:pPr>
        <w:numPr>
          <w:ilvl w:val="0"/>
          <w:numId w:val="3"/>
        </w:numPr>
        <w:spacing w:line="240" w:lineRule="auto"/>
        <w:ind w:left="708"/>
        <w:jc w:val="both"/>
        <w:rPr>
          <w:rFonts w:ascii="Raleway" w:eastAsia="Raleway" w:hAnsi="Raleway" w:cs="Raleway"/>
        </w:rPr>
      </w:pPr>
      <w:r>
        <w:rPr>
          <w:rFonts w:ascii="Times New Roman" w:eastAsia="Times New Roman" w:hAnsi="Times New Roman" w:cs="Times New Roman"/>
          <w:sz w:val="24"/>
          <w:szCs w:val="24"/>
        </w:rPr>
        <w:t xml:space="preserve">Закон України «Про Генеральну схему планування території України»; </w:t>
      </w:r>
    </w:p>
    <w:p w:rsidR="00D37148" w:rsidRDefault="00A60224">
      <w:pPr>
        <w:numPr>
          <w:ilvl w:val="0"/>
          <w:numId w:val="3"/>
        </w:numPr>
        <w:spacing w:line="240" w:lineRule="auto"/>
        <w:ind w:left="708"/>
        <w:jc w:val="both"/>
        <w:rPr>
          <w:rFonts w:ascii="Raleway" w:eastAsia="Raleway" w:hAnsi="Raleway" w:cs="Raleway"/>
        </w:rPr>
      </w:pPr>
      <w:r>
        <w:rPr>
          <w:rFonts w:ascii="Times New Roman" w:eastAsia="Times New Roman" w:hAnsi="Times New Roman" w:cs="Times New Roman"/>
          <w:sz w:val="24"/>
          <w:szCs w:val="24"/>
        </w:rPr>
        <w:t xml:space="preserve">Земельний кодекс України; </w:t>
      </w:r>
    </w:p>
    <w:p w:rsidR="00D37148" w:rsidRDefault="00A60224">
      <w:pPr>
        <w:numPr>
          <w:ilvl w:val="0"/>
          <w:numId w:val="3"/>
        </w:numPr>
        <w:spacing w:line="240" w:lineRule="auto"/>
        <w:ind w:left="708"/>
        <w:jc w:val="both"/>
        <w:rPr>
          <w:rFonts w:ascii="Raleway" w:eastAsia="Raleway" w:hAnsi="Raleway" w:cs="Raleway"/>
        </w:rPr>
      </w:pPr>
      <w:r>
        <w:rPr>
          <w:rFonts w:ascii="Times New Roman" w:eastAsia="Times New Roman" w:hAnsi="Times New Roman" w:cs="Times New Roman"/>
          <w:sz w:val="24"/>
          <w:szCs w:val="24"/>
        </w:rPr>
        <w:t xml:space="preserve">Закон України «Про основи містобудування»; </w:t>
      </w:r>
    </w:p>
    <w:p w:rsidR="00D37148" w:rsidRDefault="00A60224">
      <w:pPr>
        <w:numPr>
          <w:ilvl w:val="0"/>
          <w:numId w:val="3"/>
        </w:numPr>
        <w:spacing w:line="240" w:lineRule="auto"/>
        <w:ind w:left="708"/>
        <w:jc w:val="both"/>
        <w:rPr>
          <w:rFonts w:ascii="Raleway" w:eastAsia="Raleway" w:hAnsi="Raleway" w:cs="Raleway"/>
        </w:rPr>
      </w:pPr>
      <w:r>
        <w:rPr>
          <w:rFonts w:ascii="Times New Roman" w:eastAsia="Times New Roman" w:hAnsi="Times New Roman" w:cs="Times New Roman"/>
          <w:sz w:val="24"/>
          <w:szCs w:val="24"/>
        </w:rPr>
        <w:t xml:space="preserve">Закон України «Про охорону навколишнього природного середовища»; </w:t>
      </w:r>
    </w:p>
    <w:p w:rsidR="00D37148" w:rsidRDefault="00A60224">
      <w:pPr>
        <w:numPr>
          <w:ilvl w:val="0"/>
          <w:numId w:val="3"/>
        </w:numPr>
        <w:spacing w:line="240" w:lineRule="auto"/>
        <w:ind w:left="708"/>
        <w:jc w:val="both"/>
        <w:rPr>
          <w:rFonts w:ascii="Raleway" w:eastAsia="Raleway" w:hAnsi="Raleway" w:cs="Raleway"/>
        </w:rPr>
      </w:pPr>
      <w:r>
        <w:rPr>
          <w:rFonts w:ascii="Times New Roman" w:eastAsia="Times New Roman" w:hAnsi="Times New Roman" w:cs="Times New Roman"/>
          <w:sz w:val="24"/>
          <w:szCs w:val="24"/>
        </w:rPr>
        <w:t>Закон України «Про благоустрій населених пунктів»;</w:t>
      </w:r>
    </w:p>
    <w:p w:rsidR="00D37148" w:rsidRDefault="00A60224">
      <w:pPr>
        <w:numPr>
          <w:ilvl w:val="0"/>
          <w:numId w:val="3"/>
        </w:numPr>
        <w:spacing w:line="240" w:lineRule="auto"/>
        <w:ind w:left="708"/>
        <w:jc w:val="both"/>
        <w:rPr>
          <w:rFonts w:ascii="Raleway" w:eastAsia="Raleway" w:hAnsi="Raleway" w:cs="Raleway"/>
        </w:rPr>
      </w:pPr>
      <w:r>
        <w:rPr>
          <w:rFonts w:ascii="Times New Roman" w:eastAsia="Times New Roman" w:hAnsi="Times New Roman" w:cs="Times New Roman"/>
          <w:sz w:val="24"/>
          <w:szCs w:val="24"/>
        </w:rPr>
        <w:t xml:space="preserve">ДБН Б.2.2-12:2019 «Планування та забудова територій»; </w:t>
      </w:r>
    </w:p>
    <w:p w:rsidR="00D37148" w:rsidRDefault="00A60224">
      <w:pPr>
        <w:numPr>
          <w:ilvl w:val="0"/>
          <w:numId w:val="3"/>
        </w:numPr>
        <w:spacing w:line="240" w:lineRule="auto"/>
        <w:ind w:left="708"/>
        <w:jc w:val="both"/>
        <w:rPr>
          <w:rFonts w:ascii="Raleway" w:eastAsia="Raleway" w:hAnsi="Raleway" w:cs="Raleway"/>
        </w:rPr>
      </w:pPr>
      <w:r>
        <w:rPr>
          <w:rFonts w:ascii="Times New Roman" w:eastAsia="Times New Roman" w:hAnsi="Times New Roman" w:cs="Times New Roman"/>
          <w:sz w:val="24"/>
          <w:szCs w:val="24"/>
        </w:rPr>
        <w:t xml:space="preserve">ДБН B.2.2-12-2019 «Планування і забудова територій»; </w:t>
      </w:r>
    </w:p>
    <w:p w:rsidR="00D37148" w:rsidRDefault="00A60224">
      <w:pPr>
        <w:numPr>
          <w:ilvl w:val="0"/>
          <w:numId w:val="3"/>
        </w:numPr>
        <w:spacing w:line="240" w:lineRule="auto"/>
        <w:ind w:left="708"/>
        <w:jc w:val="both"/>
        <w:rPr>
          <w:rFonts w:ascii="Raleway" w:eastAsia="Raleway" w:hAnsi="Raleway" w:cs="Raleway"/>
        </w:rPr>
      </w:pPr>
      <w:r>
        <w:rPr>
          <w:rFonts w:ascii="Times New Roman" w:eastAsia="Times New Roman" w:hAnsi="Times New Roman" w:cs="Times New Roman"/>
          <w:sz w:val="24"/>
          <w:szCs w:val="24"/>
        </w:rPr>
        <w:t>ДБН Б.1.1-15-2012 «Склад та зміст генерального плану населеного пункту»;</w:t>
      </w:r>
    </w:p>
    <w:p w:rsidR="00D37148" w:rsidRDefault="00A60224">
      <w:pPr>
        <w:numPr>
          <w:ilvl w:val="0"/>
          <w:numId w:val="3"/>
        </w:numPr>
        <w:spacing w:line="240" w:lineRule="auto"/>
        <w:ind w:left="708"/>
        <w:jc w:val="both"/>
        <w:rPr>
          <w:rFonts w:ascii="Raleway" w:eastAsia="Raleway" w:hAnsi="Raleway" w:cs="Raleway"/>
        </w:rPr>
      </w:pPr>
      <w:r>
        <w:rPr>
          <w:rFonts w:ascii="Times New Roman" w:eastAsia="Times New Roman" w:hAnsi="Times New Roman" w:cs="Times New Roman"/>
          <w:sz w:val="24"/>
          <w:szCs w:val="24"/>
        </w:rPr>
        <w:t xml:space="preserve"> ДБН Б.1.1-14 – 2012 «Склад та зміст детального плану території»;</w:t>
      </w:r>
    </w:p>
    <w:p w:rsidR="00D37148" w:rsidRDefault="00A60224">
      <w:pPr>
        <w:widowControl w:val="0"/>
        <w:numPr>
          <w:ilvl w:val="0"/>
          <w:numId w:val="3"/>
        </w:numPr>
        <w:spacing w:line="240" w:lineRule="auto"/>
        <w:ind w:left="708"/>
        <w:jc w:val="both"/>
        <w:rPr>
          <w:rFonts w:ascii="Raleway" w:eastAsia="Raleway" w:hAnsi="Raleway" w:cs="Raleway"/>
        </w:rPr>
      </w:pPr>
      <w:r>
        <w:rPr>
          <w:rFonts w:ascii="Times New Roman" w:eastAsia="Times New Roman" w:hAnsi="Times New Roman" w:cs="Times New Roman"/>
          <w:sz w:val="24"/>
          <w:szCs w:val="24"/>
        </w:rPr>
        <w:lastRenderedPageBreak/>
        <w:t>ДБН Б.1.1-22:2017 "Склад та зміст плану зонування території";</w:t>
      </w:r>
    </w:p>
    <w:p w:rsidR="00D37148" w:rsidRDefault="00A60224">
      <w:pPr>
        <w:widowControl w:val="0"/>
        <w:numPr>
          <w:ilvl w:val="0"/>
          <w:numId w:val="3"/>
        </w:numPr>
        <w:spacing w:line="240" w:lineRule="auto"/>
        <w:ind w:left="708"/>
        <w:jc w:val="both"/>
        <w:rPr>
          <w:rFonts w:ascii="Raleway" w:eastAsia="Raleway" w:hAnsi="Raleway" w:cs="Raleway"/>
        </w:rPr>
      </w:pPr>
      <w:r>
        <w:rPr>
          <w:rFonts w:ascii="Times New Roman" w:eastAsia="Times New Roman" w:hAnsi="Times New Roman" w:cs="Times New Roman"/>
          <w:sz w:val="24"/>
          <w:szCs w:val="24"/>
        </w:rPr>
        <w:t>ДБН В.2.3-5:2018 "Вулиці та дороги населених пунктів";</w:t>
      </w:r>
    </w:p>
    <w:p w:rsidR="00D37148" w:rsidRDefault="00A60224">
      <w:pPr>
        <w:numPr>
          <w:ilvl w:val="0"/>
          <w:numId w:val="3"/>
        </w:numPr>
        <w:spacing w:line="240" w:lineRule="auto"/>
        <w:ind w:left="708"/>
        <w:jc w:val="both"/>
        <w:rPr>
          <w:rFonts w:ascii="Raleway" w:eastAsia="Raleway" w:hAnsi="Raleway" w:cs="Raleway"/>
        </w:rPr>
      </w:pPr>
      <w:r>
        <w:rPr>
          <w:rFonts w:ascii="Times New Roman" w:eastAsia="Times New Roman" w:hAnsi="Times New Roman" w:cs="Times New Roman"/>
          <w:sz w:val="24"/>
          <w:szCs w:val="24"/>
        </w:rPr>
        <w:t>ДСП 173-96 «Державні санітарні правила планування та забудови населених пунктів»</w:t>
      </w:r>
    </w:p>
    <w:p w:rsidR="00D37148" w:rsidRDefault="00A60224">
      <w:pPr>
        <w:numPr>
          <w:ilvl w:val="0"/>
          <w:numId w:val="3"/>
        </w:numPr>
        <w:spacing w:line="240" w:lineRule="auto"/>
        <w:ind w:left="708"/>
        <w:jc w:val="both"/>
        <w:rPr>
          <w:rFonts w:ascii="Raleway" w:eastAsia="Raleway" w:hAnsi="Raleway" w:cs="Raleway"/>
        </w:rPr>
      </w:pPr>
      <w:r>
        <w:rPr>
          <w:rFonts w:ascii="Times New Roman" w:eastAsia="Times New Roman" w:hAnsi="Times New Roman" w:cs="Times New Roman"/>
          <w:sz w:val="24"/>
          <w:szCs w:val="24"/>
        </w:rPr>
        <w:t>інші будівельні правила і норми по житловому і культурному</w:t>
      </w:r>
      <w:r>
        <w:rPr>
          <w:rFonts w:ascii="Times New Roman" w:eastAsia="Times New Roman" w:hAnsi="Times New Roman" w:cs="Times New Roman"/>
          <w:sz w:val="24"/>
          <w:szCs w:val="24"/>
        </w:rPr>
        <w:t xml:space="preserve"> будівництву та інженерному забезпеченню чинні на 2021 р.</w:t>
      </w:r>
    </w:p>
    <w:p w:rsidR="00D37148" w:rsidRDefault="00A60224">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розробленні змін до генерального плану села Поляниця були враховані наступні документи: </w:t>
      </w:r>
    </w:p>
    <w:p w:rsidR="00D37148" w:rsidRDefault="00A60224">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діючий генеральний населеного пункту, розроблений інститутом "Діпромісто" у 2001 р.;</w:t>
      </w:r>
    </w:p>
    <w:p w:rsidR="00D37148" w:rsidRDefault="00A60224">
      <w:pPr>
        <w:tabs>
          <w:tab w:val="left" w:pos="143"/>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матеріали анкетн</w:t>
      </w:r>
      <w:r>
        <w:rPr>
          <w:rFonts w:ascii="Times New Roman" w:eastAsia="Times New Roman" w:hAnsi="Times New Roman" w:cs="Times New Roman"/>
          <w:sz w:val="24"/>
          <w:szCs w:val="24"/>
        </w:rPr>
        <w:t>ого і натурного обстежень, проведених ФОП Микуляк О.В.</w:t>
      </w:r>
    </w:p>
    <w:p w:rsidR="00D37148" w:rsidRDefault="00A60224">
      <w:pPr>
        <w:tabs>
          <w:tab w:val="left" w:pos="8652"/>
        </w:tabs>
        <w:spacing w:after="60" w:line="240" w:lineRule="auto"/>
        <w:ind w:right="-60" w:firstLine="57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Основними правовими документами, які мають бути враховані під час процедури стратегічної екологічної оцінки є: </w:t>
      </w:r>
    </w:p>
    <w:p w:rsidR="00D37148" w:rsidRDefault="00A60224">
      <w:pPr>
        <w:widowControl w:val="0"/>
        <w:numPr>
          <w:ilvl w:val="0"/>
          <w:numId w:val="1"/>
        </w:numPr>
        <w:tabs>
          <w:tab w:val="left" w:pos="1796"/>
          <w:tab w:val="right" w:pos="9629"/>
        </w:tabs>
        <w:spacing w:line="240" w:lineRule="auto"/>
        <w:ind w:right="3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Протокол про стратегічну екологічну оцінку (Протокол про СЕО) до Конвенції про оцінку впливу на навколишнє середовище у транскордонному контексті (Конвенція Еспо), ратифікований Верховною Радою України (№ 562-VIII від 01.07.2015); </w:t>
      </w:r>
    </w:p>
    <w:p w:rsidR="00D37148" w:rsidRDefault="00A60224">
      <w:pPr>
        <w:widowControl w:val="0"/>
        <w:numPr>
          <w:ilvl w:val="0"/>
          <w:numId w:val="1"/>
        </w:numPr>
        <w:tabs>
          <w:tab w:val="left" w:pos="1796"/>
          <w:tab w:val="right" w:pos="9629"/>
        </w:tabs>
        <w:spacing w:line="240" w:lineRule="auto"/>
        <w:ind w:right="3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Директива 2001/42/ЄС про</w:t>
      </w:r>
      <w:r>
        <w:rPr>
          <w:rFonts w:ascii="Times New Roman" w:eastAsia="Times New Roman" w:hAnsi="Times New Roman" w:cs="Times New Roman"/>
          <w:sz w:val="24"/>
          <w:szCs w:val="24"/>
          <w:highlight w:val="white"/>
        </w:rPr>
        <w:t xml:space="preserve"> оцінку впливу окремих планів і програм на навколишнє середовище, імплементація якої передбачена Угодою про асоціацію між Україною та ЄС;  </w:t>
      </w:r>
    </w:p>
    <w:p w:rsidR="00D37148" w:rsidRDefault="00A60224">
      <w:pPr>
        <w:widowControl w:val="0"/>
        <w:numPr>
          <w:ilvl w:val="0"/>
          <w:numId w:val="1"/>
        </w:numPr>
        <w:tabs>
          <w:tab w:val="left" w:pos="1796"/>
          <w:tab w:val="right" w:pos="9629"/>
        </w:tabs>
        <w:spacing w:line="240" w:lineRule="auto"/>
        <w:ind w:right="3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Закон України «Про охорону археологічної спадщини»; </w:t>
      </w:r>
    </w:p>
    <w:p w:rsidR="00D37148" w:rsidRDefault="00A60224">
      <w:pPr>
        <w:widowControl w:val="0"/>
        <w:numPr>
          <w:ilvl w:val="0"/>
          <w:numId w:val="1"/>
        </w:numPr>
        <w:tabs>
          <w:tab w:val="left" w:pos="1796"/>
          <w:tab w:val="right" w:pos="9629"/>
        </w:tabs>
        <w:spacing w:line="240" w:lineRule="auto"/>
        <w:ind w:right="3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Закон України «Про Основні засади (стратегію) державної екологі</w:t>
      </w:r>
      <w:r>
        <w:rPr>
          <w:rFonts w:ascii="Times New Roman" w:eastAsia="Times New Roman" w:hAnsi="Times New Roman" w:cs="Times New Roman"/>
          <w:sz w:val="24"/>
          <w:szCs w:val="24"/>
          <w:highlight w:val="white"/>
        </w:rPr>
        <w:t xml:space="preserve">чної політики України на період до 2030 року»; </w:t>
      </w:r>
    </w:p>
    <w:p w:rsidR="00D37148" w:rsidRDefault="00A60224">
      <w:pPr>
        <w:widowControl w:val="0"/>
        <w:numPr>
          <w:ilvl w:val="0"/>
          <w:numId w:val="1"/>
        </w:numPr>
        <w:tabs>
          <w:tab w:val="left" w:pos="1796"/>
          <w:tab w:val="right" w:pos="9629"/>
        </w:tabs>
        <w:spacing w:line="240" w:lineRule="auto"/>
        <w:ind w:right="3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Державна стратегія регіонального розвитку на 2021—2027 роки, затверджена постановою Кабінету Міністрів України від 5 серпня 2020 р. № 695;</w:t>
      </w:r>
    </w:p>
    <w:p w:rsidR="00D37148" w:rsidRDefault="00A60224">
      <w:pPr>
        <w:widowControl w:val="0"/>
        <w:numPr>
          <w:ilvl w:val="0"/>
          <w:numId w:val="1"/>
        </w:numPr>
        <w:tabs>
          <w:tab w:val="left" w:pos="1796"/>
          <w:tab w:val="right" w:pos="9629"/>
        </w:tabs>
        <w:spacing w:line="240" w:lineRule="auto"/>
        <w:ind w:right="3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Національний план дій управління відходами до 2030 року, затверджений</w:t>
      </w:r>
      <w:r>
        <w:rPr>
          <w:rFonts w:ascii="Times New Roman" w:eastAsia="Times New Roman" w:hAnsi="Times New Roman" w:cs="Times New Roman"/>
          <w:sz w:val="24"/>
          <w:szCs w:val="24"/>
          <w:highlight w:val="white"/>
        </w:rPr>
        <w:t xml:space="preserve"> Кабінетом міністрів України 20 лютого 2019 року; </w:t>
      </w:r>
    </w:p>
    <w:p w:rsidR="00D37148" w:rsidRDefault="00A60224">
      <w:pPr>
        <w:widowControl w:val="0"/>
        <w:numPr>
          <w:ilvl w:val="0"/>
          <w:numId w:val="1"/>
        </w:numPr>
        <w:tabs>
          <w:tab w:val="left" w:pos="1796"/>
          <w:tab w:val="right" w:pos="9629"/>
        </w:tabs>
        <w:spacing w:line="240" w:lineRule="auto"/>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Конвенція ООН з біологічного різноманіття; </w:t>
      </w:r>
    </w:p>
    <w:p w:rsidR="00D37148" w:rsidRDefault="00A60224">
      <w:pPr>
        <w:widowControl w:val="0"/>
        <w:numPr>
          <w:ilvl w:val="0"/>
          <w:numId w:val="1"/>
        </w:numPr>
        <w:tabs>
          <w:tab w:val="left" w:pos="1796"/>
          <w:tab w:val="right" w:pos="9629"/>
        </w:tabs>
        <w:spacing w:line="240" w:lineRule="auto"/>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Рамкова конвенція про зміну клімату;  </w:t>
      </w:r>
    </w:p>
    <w:p w:rsidR="00D37148" w:rsidRDefault="00A60224">
      <w:pPr>
        <w:widowControl w:val="0"/>
        <w:numPr>
          <w:ilvl w:val="0"/>
          <w:numId w:val="1"/>
        </w:numPr>
        <w:tabs>
          <w:tab w:val="left" w:pos="1796"/>
          <w:tab w:val="right" w:pos="9629"/>
        </w:tabs>
        <w:spacing w:line="240" w:lineRule="auto"/>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Паризька кліматична угода; </w:t>
      </w:r>
    </w:p>
    <w:p w:rsidR="00D37148" w:rsidRDefault="00A60224">
      <w:pPr>
        <w:widowControl w:val="0"/>
        <w:numPr>
          <w:ilvl w:val="0"/>
          <w:numId w:val="1"/>
        </w:numPr>
        <w:tabs>
          <w:tab w:val="left" w:pos="1796"/>
          <w:tab w:val="right" w:pos="9629"/>
        </w:tabs>
        <w:spacing w:line="240" w:lineRule="auto"/>
        <w:ind w:right="3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ДСТУ-Н Б Б.1.1-10:2010 «Настанова з виконання розділів «Охорона навколишнього природного серед</w:t>
      </w:r>
      <w:r>
        <w:rPr>
          <w:rFonts w:ascii="Times New Roman" w:eastAsia="Times New Roman" w:hAnsi="Times New Roman" w:cs="Times New Roman"/>
          <w:sz w:val="24"/>
          <w:szCs w:val="24"/>
          <w:highlight w:val="white"/>
        </w:rPr>
        <w:t>овища» у складі містобудівної документації»;</w:t>
      </w:r>
    </w:p>
    <w:p w:rsidR="00D37148" w:rsidRDefault="00A60224">
      <w:pPr>
        <w:widowControl w:val="0"/>
        <w:numPr>
          <w:ilvl w:val="0"/>
          <w:numId w:val="1"/>
        </w:numPr>
        <w:tabs>
          <w:tab w:val="left" w:pos="1796"/>
          <w:tab w:val="right" w:pos="9629"/>
        </w:tabs>
        <w:spacing w:line="240" w:lineRule="auto"/>
        <w:ind w:right="3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Конвенція про охорону дикої флори та фауни і природних середовищ існування в Європі (Закон України N 436/96-ВР (</w:t>
      </w:r>
      <w:hyperlink r:id="rId9">
        <w:r>
          <w:rPr>
            <w:rFonts w:ascii="Times New Roman" w:eastAsia="Times New Roman" w:hAnsi="Times New Roman" w:cs="Times New Roman"/>
            <w:sz w:val="24"/>
            <w:szCs w:val="24"/>
            <w:highlight w:val="white"/>
            <w:u w:val="single"/>
          </w:rPr>
          <w:t>436/96-ВР</w:t>
        </w:r>
      </w:hyperlink>
      <w:r>
        <w:rPr>
          <w:rFonts w:ascii="Times New Roman" w:eastAsia="Times New Roman" w:hAnsi="Times New Roman" w:cs="Times New Roman"/>
          <w:sz w:val="24"/>
          <w:szCs w:val="24"/>
          <w:highlight w:val="white"/>
        </w:rPr>
        <w:t xml:space="preserve"> ) від 29.10.96</w:t>
      </w:r>
      <w:r>
        <w:rPr>
          <w:rFonts w:ascii="Times New Roman" w:eastAsia="Times New Roman" w:hAnsi="Times New Roman" w:cs="Times New Roman"/>
          <w:sz w:val="24"/>
          <w:szCs w:val="24"/>
          <w:highlight w:val="white"/>
        </w:rPr>
        <w:t>.</w:t>
      </w:r>
    </w:p>
    <w:p w:rsidR="00D37148" w:rsidRDefault="00A60224">
      <w:pPr>
        <w:shd w:val="clear" w:color="auto" w:fill="FFFFFF"/>
        <w:spacing w:before="240" w:after="140" w:line="240" w:lineRule="auto"/>
        <w:ind w:right="30"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w:t>
      </w:r>
      <w:r>
        <w:rPr>
          <w:rFonts w:ascii="Times New Roman" w:eastAsia="Times New Roman" w:hAnsi="Times New Roman" w:cs="Times New Roman"/>
          <w:b/>
          <w:sz w:val="24"/>
          <w:szCs w:val="24"/>
        </w:rPr>
        <w:t>ужності або розміщення ресурсів)</w:t>
      </w:r>
    </w:p>
    <w:p w:rsidR="00D37148" w:rsidRDefault="00A60224">
      <w:pPr>
        <w:shd w:val="clear" w:color="auto" w:fill="FFFFFF"/>
        <w:spacing w:line="240" w:lineRule="auto"/>
        <w:ind w:right="30"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w:t>
      </w:r>
      <w:r>
        <w:rPr>
          <w:rFonts w:ascii="Times New Roman" w:eastAsia="Times New Roman" w:hAnsi="Times New Roman" w:cs="Times New Roman"/>
          <w:sz w:val="24"/>
          <w:szCs w:val="24"/>
        </w:rPr>
        <w:t>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D37148" w:rsidRDefault="00A60224">
      <w:pPr>
        <w:shd w:val="clear" w:color="auto" w:fill="FFFFFF"/>
        <w:spacing w:line="240" w:lineRule="auto"/>
        <w:ind w:right="3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Змінами до генерального плану, втому числі передбачається: а) будівництво готельного комплексу, який запроектовано з двох окремих будівель (корпус № 1 та корпус № 2). Поверховість будівель різна (корпус № 1 –  3–4-9 поверхів; корпус № 2 –7–8-9 поверхів). К</w:t>
      </w:r>
      <w:r>
        <w:rPr>
          <w:rFonts w:ascii="Times New Roman" w:eastAsia="Times New Roman" w:hAnsi="Times New Roman" w:cs="Times New Roman"/>
          <w:sz w:val="24"/>
          <w:szCs w:val="24"/>
        </w:rPr>
        <w:t>орпуси з’єднані між собою галереєю-переходом на рівні 3-го поверху. У Корпусі № 1 передбачено влаштування підземного паркінгу та дахового басейну. Також зберігання автомобілів передбачається на проектній автостоянці на 10 автомісць. Площа території готельн</w:t>
      </w:r>
      <w:r>
        <w:rPr>
          <w:rFonts w:ascii="Times New Roman" w:eastAsia="Times New Roman" w:hAnsi="Times New Roman" w:cs="Times New Roman"/>
          <w:sz w:val="24"/>
          <w:szCs w:val="24"/>
        </w:rPr>
        <w:t xml:space="preserve">ого комплексу - 1,0225 га. б). Готель з підземним паркінгом  та даховим басейном. </w:t>
      </w:r>
      <w:r>
        <w:rPr>
          <w:rFonts w:ascii="Times New Roman" w:eastAsia="Times New Roman" w:hAnsi="Times New Roman" w:cs="Times New Roman"/>
          <w:sz w:val="24"/>
          <w:szCs w:val="24"/>
        </w:rPr>
        <w:lastRenderedPageBreak/>
        <w:t>Поверховість будівлі –  3-9 поверхів. Площа території готелю та підземного паркінгу - 0,3150 га.</w:t>
      </w:r>
    </w:p>
    <w:p w:rsidR="00D37148" w:rsidRDefault="00A60224">
      <w:pPr>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каналізування проектованих об’єктів передбачено проектну каналізаційну ме</w:t>
      </w:r>
      <w:r>
        <w:rPr>
          <w:rFonts w:ascii="Times New Roman" w:eastAsia="Times New Roman" w:hAnsi="Times New Roman" w:cs="Times New Roman"/>
          <w:sz w:val="24"/>
          <w:szCs w:val="24"/>
        </w:rPr>
        <w:t>режу, яка під’єднується до очисних споруд ТОВ «Скорзонера».</w:t>
      </w:r>
    </w:p>
    <w:p w:rsidR="00D37148" w:rsidRDefault="00A60224">
      <w:pPr>
        <w:shd w:val="clear" w:color="auto" w:fill="FFFFFF"/>
        <w:spacing w:line="240" w:lineRule="auto"/>
        <w:ind w:right="3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Заплановані об’єкти належать до видів планованої діяльності та об’єктів, що підлягають оцінці впливу на довкілля згідно Закону України «Про оцінку впливу на довкілля»,  а саме: “</w:t>
      </w:r>
      <w:r>
        <w:rPr>
          <w:rFonts w:ascii="Times New Roman" w:eastAsia="Times New Roman" w:hAnsi="Times New Roman" w:cs="Times New Roman"/>
          <w:sz w:val="24"/>
          <w:szCs w:val="24"/>
          <w:highlight w:val="white"/>
        </w:rPr>
        <w:t xml:space="preserve">курортні містечка </w:t>
      </w:r>
      <w:r>
        <w:rPr>
          <w:rFonts w:ascii="Times New Roman" w:eastAsia="Times New Roman" w:hAnsi="Times New Roman" w:cs="Times New Roman"/>
          <w:sz w:val="24"/>
          <w:szCs w:val="24"/>
          <w:highlight w:val="white"/>
        </w:rPr>
        <w:t>та готельні комплекси в межах населених пунктів місткістю не менш як 50 номерів, якщо не передбачено їх підключення до централізованого водопостачання та/або водовідведення; курортні містечка та готельні комплекси на територіях та об’єктах природно-заповід</w:t>
      </w:r>
      <w:r>
        <w:rPr>
          <w:rFonts w:ascii="Times New Roman" w:eastAsia="Times New Roman" w:hAnsi="Times New Roman" w:cs="Times New Roman"/>
          <w:sz w:val="24"/>
          <w:szCs w:val="24"/>
          <w:highlight w:val="white"/>
        </w:rPr>
        <w:t>ного фонду чи в їх охоронних зонах”.</w:t>
      </w:r>
      <w:r>
        <w:rPr>
          <w:rFonts w:ascii="Times New Roman" w:eastAsia="Times New Roman" w:hAnsi="Times New Roman" w:cs="Times New Roman"/>
          <w:sz w:val="24"/>
          <w:szCs w:val="24"/>
        </w:rPr>
        <w:t xml:space="preserve"> </w:t>
      </w:r>
    </w:p>
    <w:p w:rsidR="00D37148" w:rsidRDefault="00A60224">
      <w:pPr>
        <w:shd w:val="clear" w:color="auto" w:fill="FFFFFF"/>
        <w:spacing w:before="240" w:after="60" w:line="240" w:lineRule="auto"/>
        <w:ind w:right="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Ймовірні наслідки.</w:t>
      </w:r>
    </w:p>
    <w:p w:rsidR="00D37148" w:rsidRDefault="00A60224">
      <w:pPr>
        <w:shd w:val="clear" w:color="auto" w:fill="FFFFFF"/>
        <w:spacing w:before="240" w:after="60" w:line="240" w:lineRule="auto"/>
        <w:ind w:right="30" w:firstLine="720"/>
        <w:jc w:val="both"/>
        <w:rPr>
          <w:rFonts w:ascii="Times New Roman" w:eastAsia="Times New Roman" w:hAnsi="Times New Roman" w:cs="Times New Roman"/>
          <w:color w:val="980000"/>
          <w:sz w:val="24"/>
          <w:szCs w:val="24"/>
        </w:rPr>
      </w:pPr>
      <w:r>
        <w:rPr>
          <w:rFonts w:ascii="Times New Roman" w:eastAsia="Times New Roman" w:hAnsi="Times New Roman" w:cs="Times New Roman"/>
          <w:sz w:val="24"/>
          <w:szCs w:val="24"/>
        </w:rPr>
        <w:t>Проектом ДДП передбачається зміна цільового призначення території житлово-садибної забудови на територію громадської забудови загальною площею 1,3597 га для будівництва готелів, а також зменшення прибережно-захисної смуги р. Прутець Яблуницький з урахуванн</w:t>
      </w:r>
      <w:r>
        <w:rPr>
          <w:rFonts w:ascii="Times New Roman" w:eastAsia="Times New Roman" w:hAnsi="Times New Roman" w:cs="Times New Roman"/>
          <w:sz w:val="24"/>
          <w:szCs w:val="24"/>
        </w:rPr>
        <w:t>ям існуючої забудови. Впровадження майбутніх проектних рішень ДДП в частині будівництва інфраструктурних об’єктів та зменшення ПЗС може призвести до тимчасових негативних наслідків, зокрема атмосферного забруднення, збільшення шумового навантаження на тери</w:t>
      </w:r>
      <w:r>
        <w:rPr>
          <w:rFonts w:ascii="Times New Roman" w:eastAsia="Times New Roman" w:hAnsi="Times New Roman" w:cs="Times New Roman"/>
          <w:sz w:val="24"/>
          <w:szCs w:val="24"/>
        </w:rPr>
        <w:t xml:space="preserve">торії та забруднення території відходами будівництва, забруднення річки Прутець Яблуницький стічними та зворотніми водами. </w:t>
      </w:r>
    </w:p>
    <w:p w:rsidR="00D37148" w:rsidRDefault="00A60224">
      <w:pPr>
        <w:spacing w:line="240" w:lineRule="auto"/>
        <w:ind w:right="30" w:firstLine="7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Основні екологічні проблеми території та природоохоронні цілі:</w:t>
      </w:r>
    </w:p>
    <w:p w:rsidR="00D37148" w:rsidRDefault="00A60224">
      <w:pPr>
        <w:shd w:val="clear" w:color="auto" w:fill="FFFFFF"/>
        <w:spacing w:before="240" w:after="60"/>
        <w:ind w:right="40"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 для довкілля, у тому числі для здоров’я населення.</w:t>
      </w:r>
    </w:p>
    <w:p w:rsidR="00D37148" w:rsidRDefault="00D37148">
      <w:pPr>
        <w:spacing w:line="240" w:lineRule="auto"/>
        <w:ind w:right="30"/>
        <w:jc w:val="both"/>
        <w:rPr>
          <w:rFonts w:ascii="Times New Roman" w:eastAsia="Times New Roman" w:hAnsi="Times New Roman" w:cs="Times New Roman"/>
          <w:color w:val="980000"/>
          <w:sz w:val="24"/>
          <w:szCs w:val="24"/>
        </w:rPr>
      </w:pPr>
    </w:p>
    <w:tbl>
      <w:tblPr>
        <w:tblStyle w:val="af4"/>
        <w:tblW w:w="97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3015"/>
        <w:gridCol w:w="2010"/>
        <w:gridCol w:w="3435"/>
      </w:tblGrid>
      <w:tr w:rsidR="00D37148">
        <w:tc>
          <w:tcPr>
            <w:tcW w:w="1290" w:type="dxa"/>
            <w:shd w:val="clear" w:color="auto" w:fill="auto"/>
            <w:tcMar>
              <w:top w:w="100" w:type="dxa"/>
              <w:left w:w="100" w:type="dxa"/>
              <w:bottom w:w="100" w:type="dxa"/>
              <w:right w:w="100" w:type="dxa"/>
            </w:tcMar>
          </w:tcPr>
          <w:p w:rsidR="00D37148" w:rsidRDefault="00A6022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Компонент довк</w:t>
            </w:r>
            <w:r>
              <w:rPr>
                <w:rFonts w:ascii="Times New Roman" w:eastAsia="Times New Roman" w:hAnsi="Times New Roman" w:cs="Times New Roman"/>
                <w:b/>
                <w:sz w:val="24"/>
                <w:szCs w:val="24"/>
              </w:rPr>
              <w:t>ілля</w:t>
            </w:r>
          </w:p>
        </w:tc>
        <w:tc>
          <w:tcPr>
            <w:tcW w:w="3015" w:type="dxa"/>
            <w:shd w:val="clear" w:color="auto" w:fill="auto"/>
            <w:tcMar>
              <w:top w:w="100" w:type="dxa"/>
              <w:left w:w="100" w:type="dxa"/>
              <w:bottom w:w="100" w:type="dxa"/>
              <w:right w:w="100" w:type="dxa"/>
            </w:tcMar>
          </w:tcPr>
          <w:p w:rsidR="00D37148" w:rsidRDefault="00A6022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Екологічні проблеми </w:t>
            </w:r>
          </w:p>
        </w:tc>
        <w:tc>
          <w:tcPr>
            <w:tcW w:w="2010" w:type="dxa"/>
            <w:shd w:val="clear" w:color="auto" w:fill="auto"/>
            <w:tcMar>
              <w:top w:w="100" w:type="dxa"/>
              <w:left w:w="100" w:type="dxa"/>
              <w:bottom w:w="100" w:type="dxa"/>
              <w:right w:w="100" w:type="dxa"/>
            </w:tcMar>
          </w:tcPr>
          <w:p w:rsidR="00D37148" w:rsidRDefault="00A6022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Природоохоронні цілі</w:t>
            </w:r>
          </w:p>
        </w:tc>
        <w:tc>
          <w:tcPr>
            <w:tcW w:w="3435" w:type="dxa"/>
            <w:shd w:val="clear" w:color="auto" w:fill="auto"/>
            <w:tcMar>
              <w:top w:w="100" w:type="dxa"/>
              <w:left w:w="100" w:type="dxa"/>
              <w:bottom w:w="100" w:type="dxa"/>
              <w:right w:w="100" w:type="dxa"/>
            </w:tcMar>
          </w:tcPr>
          <w:p w:rsidR="00D37148" w:rsidRDefault="00A6022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Ймовірні наслідки реалізації ДДП</w:t>
            </w:r>
          </w:p>
        </w:tc>
      </w:tr>
      <w:tr w:rsidR="00D37148">
        <w:trPr>
          <w:trHeight w:val="1676"/>
        </w:trPr>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7148" w:rsidRDefault="00A6022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Клімат і мікроклімат</w:t>
            </w:r>
          </w:p>
        </w:tc>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7148" w:rsidRDefault="00A602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централізованого водопостачання та каналізування. Викиди парникових газів через спалювання викопного палива</w:t>
            </w:r>
          </w:p>
        </w:tc>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7148" w:rsidRDefault="00A602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Зменшення викидів парникових газів, </w:t>
            </w:r>
          </w:p>
          <w:p w:rsidR="00D37148" w:rsidRDefault="00A602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адаптація до змін клімату</w:t>
            </w:r>
          </w:p>
        </w:tc>
        <w:tc>
          <w:tcPr>
            <w:tcW w:w="3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7148" w:rsidRDefault="00A602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Передбачається подальше використання викопного палива в комунальному господарстві що, через збільшення населення села призведе до збільшення обсягів викидів парникових газів. Домінування забудо</w:t>
            </w:r>
            <w:r>
              <w:rPr>
                <w:rFonts w:ascii="Times New Roman" w:eastAsia="Times New Roman" w:hAnsi="Times New Roman" w:cs="Times New Roman"/>
                <w:sz w:val="24"/>
                <w:szCs w:val="24"/>
              </w:rPr>
              <w:t xml:space="preserve">ваних, заасфальтованих або вкритих іншими штучними матеріалами ділянок у межах населеного пункту та території проектування можуть призвести до виникнення стресових для здоров’я «теплових островів». </w:t>
            </w:r>
          </w:p>
        </w:tc>
      </w:tr>
      <w:tr w:rsidR="00D37148">
        <w:trPr>
          <w:trHeight w:val="724"/>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7148" w:rsidRDefault="00A6022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Атмосферне повітря</w:t>
            </w:r>
          </w:p>
        </w:tc>
        <w:tc>
          <w:tcPr>
            <w:tcW w:w="30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7148" w:rsidRDefault="00A602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Основна екологічна проблема – забруднення повітря викидами </w:t>
            </w:r>
            <w:r>
              <w:rPr>
                <w:rFonts w:ascii="Times New Roman" w:eastAsia="Times New Roman" w:hAnsi="Times New Roman" w:cs="Times New Roman"/>
                <w:sz w:val="24"/>
                <w:szCs w:val="24"/>
              </w:rPr>
              <w:lastRenderedPageBreak/>
              <w:t>автотранспорту та шумове забруднення.</w:t>
            </w:r>
          </w:p>
        </w:tc>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7148" w:rsidRDefault="00A602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Зменшення викидів шкідливих </w:t>
            </w:r>
            <w:r>
              <w:rPr>
                <w:rFonts w:ascii="Times New Roman" w:eastAsia="Times New Roman" w:hAnsi="Times New Roman" w:cs="Times New Roman"/>
                <w:sz w:val="24"/>
                <w:szCs w:val="24"/>
              </w:rPr>
              <w:lastRenderedPageBreak/>
              <w:t>речовин в атмосферу від автотранспорту.</w:t>
            </w:r>
          </w:p>
        </w:tc>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7148" w:rsidRDefault="00A602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Передбачається озеленення територій, вільних від забудови, що разом з  </w:t>
            </w:r>
            <w:r>
              <w:rPr>
                <w:rFonts w:ascii="Times New Roman" w:eastAsia="Times New Roman" w:hAnsi="Times New Roman" w:cs="Times New Roman"/>
                <w:sz w:val="24"/>
                <w:szCs w:val="24"/>
              </w:rPr>
              <w:lastRenderedPageBreak/>
              <w:t>прогнозованою електр</w:t>
            </w:r>
            <w:r>
              <w:rPr>
                <w:rFonts w:ascii="Times New Roman" w:eastAsia="Times New Roman" w:hAnsi="Times New Roman" w:cs="Times New Roman"/>
                <w:sz w:val="24"/>
                <w:szCs w:val="24"/>
              </w:rPr>
              <w:t>ифікацією транспорту зменшить обсяги викидів.</w:t>
            </w:r>
          </w:p>
        </w:tc>
      </w:tr>
      <w:tr w:rsidR="00D37148">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7148" w:rsidRDefault="00A6022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Водне середовище</w:t>
            </w:r>
          </w:p>
        </w:tc>
        <w:tc>
          <w:tcPr>
            <w:tcW w:w="30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7148" w:rsidRDefault="00A602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централізованого каналізування та водопостачання, відсутність проектів встановлення водоохоронних зон та ПЗС, забруднення р. Прутець Яблуницький стічними водами. </w:t>
            </w:r>
          </w:p>
        </w:tc>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7148" w:rsidRDefault="00A602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збереження, відновлення та стале використання наземних і внутрішніх прісноводних екосистем</w:t>
            </w:r>
          </w:p>
        </w:tc>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7148" w:rsidRDefault="00A602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Можливе забруднення поверхневих вод річки – ймовірні скиди забруднених вод, що можуть призвести до забруднення хімічними і органічними речовинами, теплов</w:t>
            </w:r>
            <w:r>
              <w:rPr>
                <w:rFonts w:ascii="Times New Roman" w:eastAsia="Times New Roman" w:hAnsi="Times New Roman" w:cs="Times New Roman"/>
                <w:sz w:val="24"/>
                <w:szCs w:val="24"/>
              </w:rPr>
              <w:t>ого забруднення.</w:t>
            </w:r>
          </w:p>
          <w:p w:rsidR="00D37148" w:rsidRDefault="00A602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Грунтові води у межах комунальних територій можуть зазнавати тиску через інфільтрацію забруднювачів різного типу. Передбачається будівництво мереж господарсько-побутової каналізації, що зменшить зазначені ризики.</w:t>
            </w:r>
          </w:p>
        </w:tc>
      </w:tr>
      <w:tr w:rsidR="00D37148">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7148" w:rsidRDefault="00A6022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Земельні ресурси</w:t>
            </w:r>
          </w:p>
        </w:tc>
        <w:tc>
          <w:tcPr>
            <w:tcW w:w="30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7148" w:rsidRDefault="00A6022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Антропогенна перетвореність ландшафту в межах ДПТ;</w:t>
            </w:r>
          </w:p>
          <w:p w:rsidR="00D37148" w:rsidRDefault="00A60224">
            <w:pPr>
              <w:spacing w:line="240" w:lineRule="auto"/>
              <w:jc w:val="both"/>
              <w:rPr>
                <w:rFonts w:ascii="Raleway" w:eastAsia="Raleway" w:hAnsi="Raleway" w:cs="Raleway"/>
                <w:sz w:val="24"/>
                <w:szCs w:val="24"/>
                <w:highlight w:val="white"/>
              </w:rPr>
            </w:pPr>
            <w:r>
              <w:rPr>
                <w:rFonts w:ascii="Times New Roman" w:eastAsia="Times New Roman" w:hAnsi="Times New Roman" w:cs="Times New Roman"/>
                <w:sz w:val="24"/>
                <w:szCs w:val="24"/>
              </w:rPr>
              <w:t>Забруднення від змиву стічних вод через відсутність каналізації із територій присадибних ділянок, вулично-дорожньої мережі;</w:t>
            </w:r>
          </w:p>
        </w:tc>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7148" w:rsidRDefault="00A602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Припинення процесу деградації земель та зупинка процесу втрати біорізноманіття</w:t>
            </w:r>
          </w:p>
        </w:tc>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7148" w:rsidRDefault="00A602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w:t>
            </w:r>
            <w:r>
              <w:rPr>
                <w:rFonts w:ascii="Times New Roman" w:eastAsia="Times New Roman" w:hAnsi="Times New Roman" w:cs="Times New Roman"/>
                <w:sz w:val="24"/>
                <w:szCs w:val="24"/>
              </w:rPr>
              <w:t>редбачається будівництво мереж господарсько-побутової каналізації, що зменшить зазначені ризики.</w:t>
            </w:r>
          </w:p>
          <w:p w:rsidR="00D37148" w:rsidRDefault="00A602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Проектом визначаються розміри прибережно-захисних смуг та пропонується розробка проектів меж водоохоронних зон. </w:t>
            </w:r>
          </w:p>
        </w:tc>
      </w:tr>
      <w:tr w:rsidR="00D37148">
        <w:trPr>
          <w:trHeight w:val="1691"/>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7148" w:rsidRDefault="00A6022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Рослинний і тваринний світ</w:t>
            </w:r>
          </w:p>
        </w:tc>
        <w:tc>
          <w:tcPr>
            <w:tcW w:w="30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7148" w:rsidRDefault="00A602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 нових об</w:t>
            </w:r>
            <w:r>
              <w:rPr>
                <w:rFonts w:ascii="Times New Roman" w:eastAsia="Times New Roman" w:hAnsi="Times New Roman" w:cs="Times New Roman"/>
                <w:sz w:val="24"/>
                <w:szCs w:val="24"/>
              </w:rPr>
              <w:t xml:space="preserve">’єктів транспорту, забудова громадських територій, пов’язані із вилученням вільних територій, які можуть бути цінними для підтримки високого рівня біорізноманіття і збереження цінних біотопів. </w:t>
            </w:r>
          </w:p>
        </w:tc>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7148" w:rsidRDefault="00A602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відновлення  біорізноманіття</w:t>
            </w:r>
          </w:p>
        </w:tc>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7148" w:rsidRDefault="00A602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 нових господарських і ж</w:t>
            </w:r>
            <w:r>
              <w:rPr>
                <w:rFonts w:ascii="Times New Roman" w:eastAsia="Times New Roman" w:hAnsi="Times New Roman" w:cs="Times New Roman"/>
                <w:sz w:val="24"/>
                <w:szCs w:val="24"/>
              </w:rPr>
              <w:t>итлових об’єктів пов’язане із інтенсифікацією тиску на навколишнє середовище як під час будівництва, так і у процесі подальшої експлуатації. Проектом пропонується встановлення прибережно-захисних смуг водних об’єктів. У рамках СЕО будуть розглянуті інші за</w:t>
            </w:r>
            <w:r>
              <w:rPr>
                <w:rFonts w:ascii="Times New Roman" w:eastAsia="Times New Roman" w:hAnsi="Times New Roman" w:cs="Times New Roman"/>
                <w:sz w:val="24"/>
                <w:szCs w:val="24"/>
              </w:rPr>
              <w:t xml:space="preserve">ходи із запобігання таким негативним впливам. </w:t>
            </w:r>
          </w:p>
        </w:tc>
      </w:tr>
      <w:tr w:rsidR="00D37148">
        <w:trPr>
          <w:trHeight w:val="1421"/>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7148" w:rsidRDefault="00A6022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Навколишнє соціальне середовище, у т.ч. здоров’я населення</w:t>
            </w:r>
          </w:p>
        </w:tc>
        <w:tc>
          <w:tcPr>
            <w:tcW w:w="30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7148" w:rsidRDefault="00A602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Забруднення викидами транспорту зумовлюють негативні наслідки для здоров’я населення, особливо у місцях найбільших концентрацій забруднювачів або надмірного шумового тиску.</w:t>
            </w:r>
          </w:p>
        </w:tc>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7148" w:rsidRDefault="00A602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Зменшити негативний вплив забруднюючих речовин, у т. ч. на довкілля міст, шляхом ви</w:t>
            </w:r>
            <w:r>
              <w:rPr>
                <w:rFonts w:ascii="Times New Roman" w:eastAsia="Times New Roman" w:hAnsi="Times New Roman" w:cs="Times New Roman"/>
                <w:sz w:val="24"/>
                <w:szCs w:val="24"/>
              </w:rPr>
              <w:t xml:space="preserve">користання інноваційних технологій </w:t>
            </w:r>
          </w:p>
        </w:tc>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7148" w:rsidRDefault="00A602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Облаштування якісних інженерних мереж, оновлення дорожнього покриття, озеленення вільних від забудови територій дозволить зменшити обсяги забруднення навколишнього середовища.</w:t>
            </w:r>
          </w:p>
        </w:tc>
      </w:tr>
    </w:tbl>
    <w:p w:rsidR="00D37148" w:rsidRDefault="00D37148">
      <w:pPr>
        <w:spacing w:line="240" w:lineRule="auto"/>
        <w:ind w:right="30"/>
        <w:jc w:val="both"/>
        <w:rPr>
          <w:rFonts w:ascii="Times New Roman" w:eastAsia="Times New Roman" w:hAnsi="Times New Roman" w:cs="Times New Roman"/>
          <w:color w:val="980000"/>
          <w:sz w:val="24"/>
          <w:szCs w:val="24"/>
        </w:rPr>
      </w:pPr>
    </w:p>
    <w:p w:rsidR="00D37148" w:rsidRDefault="00A60224">
      <w:pPr>
        <w:shd w:val="clear" w:color="auto" w:fill="FFFFFF"/>
        <w:spacing w:before="240" w:after="60" w:line="240" w:lineRule="auto"/>
        <w:ind w:right="30"/>
        <w:jc w:val="both"/>
        <w:rPr>
          <w:rFonts w:ascii="Times New Roman" w:eastAsia="Times New Roman" w:hAnsi="Times New Roman" w:cs="Times New Roman"/>
          <w:b/>
          <w:i/>
          <w:sz w:val="24"/>
          <w:szCs w:val="24"/>
        </w:rPr>
      </w:pPr>
      <w:r>
        <w:rPr>
          <w:rFonts w:ascii="Times New Roman" w:eastAsia="Times New Roman" w:hAnsi="Times New Roman" w:cs="Times New Roman"/>
          <w:color w:val="980000"/>
          <w:sz w:val="24"/>
          <w:szCs w:val="24"/>
        </w:rPr>
        <w:tab/>
      </w:r>
      <w:r>
        <w:rPr>
          <w:rFonts w:ascii="Times New Roman" w:eastAsia="Times New Roman" w:hAnsi="Times New Roman" w:cs="Times New Roman"/>
          <w:b/>
          <w:i/>
          <w:sz w:val="24"/>
          <w:szCs w:val="24"/>
        </w:rPr>
        <w:t>б) для територій з природоохоронним статусом.</w:t>
      </w:r>
    </w:p>
    <w:p w:rsidR="00D37148" w:rsidRDefault="00A60224">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даних публічної кадастрової карти та наданих вихідних даних на території розроблення ДДП та поруч відсутні території, віднесені до Смарагдової мережі, природно-заповідного фонду (ПЗФ) та історико-культур</w:t>
      </w:r>
      <w:r>
        <w:rPr>
          <w:rFonts w:ascii="Times New Roman" w:eastAsia="Times New Roman" w:hAnsi="Times New Roman" w:cs="Times New Roman"/>
          <w:sz w:val="24"/>
          <w:szCs w:val="24"/>
        </w:rPr>
        <w:t>ної спадщини.</w:t>
      </w:r>
    </w:p>
    <w:p w:rsidR="00D37148" w:rsidRDefault="00D37148">
      <w:pPr>
        <w:spacing w:line="240" w:lineRule="auto"/>
        <w:jc w:val="both"/>
        <w:rPr>
          <w:rFonts w:ascii="Times New Roman" w:eastAsia="Times New Roman" w:hAnsi="Times New Roman" w:cs="Times New Roman"/>
          <w:color w:val="980000"/>
          <w:sz w:val="24"/>
          <w:szCs w:val="24"/>
        </w:rPr>
      </w:pPr>
    </w:p>
    <w:p w:rsidR="00D37148" w:rsidRDefault="00A60224">
      <w:pPr>
        <w:spacing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 транскордонні наслідки для довкілля, у тому числі для здоров’я населення.</w:t>
      </w:r>
    </w:p>
    <w:p w:rsidR="00D37148" w:rsidRDefault="00A60224">
      <w:pPr>
        <w:shd w:val="clear" w:color="auto" w:fill="FFFFFF"/>
        <w:spacing w:before="240" w:after="60" w:line="240" w:lineRule="auto"/>
        <w:ind w:right="3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Проекті рішення ДДП не мають транскордонних наслідків для довкілля, у тому числі для здоров’я населення.</w:t>
      </w:r>
    </w:p>
    <w:p w:rsidR="00D37148" w:rsidRDefault="00A60224">
      <w:pPr>
        <w:shd w:val="clear" w:color="auto" w:fill="FFFFFF"/>
        <w:spacing w:before="240" w:after="60" w:line="240" w:lineRule="auto"/>
        <w:ind w:right="3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Виправдані альтернативи, які необхідно розглянути, у том</w:t>
      </w:r>
      <w:r>
        <w:rPr>
          <w:rFonts w:ascii="Times New Roman" w:eastAsia="Times New Roman" w:hAnsi="Times New Roman" w:cs="Times New Roman"/>
          <w:b/>
          <w:sz w:val="24"/>
          <w:szCs w:val="24"/>
        </w:rPr>
        <w:t>у числі якщо документ державного планування не буде затверджено</w:t>
      </w:r>
    </w:p>
    <w:p w:rsidR="00D37148" w:rsidRDefault="00A60224">
      <w:pPr>
        <w:shd w:val="clear" w:color="auto" w:fill="FFFFFF"/>
        <w:spacing w:line="240" w:lineRule="auto"/>
        <w:ind w:right="30"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 процесі виконання стратегічної екологічної оцінки буде розглянута планувальна альтернатива «нульовий сценарій» (тобто опис, прогнозування та оцінка ситуації у випадку незатвердження зазначен</w:t>
      </w:r>
      <w:r>
        <w:rPr>
          <w:rFonts w:ascii="Times New Roman" w:eastAsia="Times New Roman" w:hAnsi="Times New Roman" w:cs="Times New Roman"/>
          <w:sz w:val="24"/>
          <w:szCs w:val="24"/>
        </w:rPr>
        <w:t>ого ДДП), а також інші планувальні альтернативи, які включатимуть прогнозування та оцінку ситуації у випадку затвердження різних варіантів проектних рішень в складі ДДП. Оцінка ефективності вказаних альтернативних варіантів буде відображена у Звіті про СЕО</w:t>
      </w:r>
      <w:r>
        <w:rPr>
          <w:rFonts w:ascii="Times New Roman" w:eastAsia="Times New Roman" w:hAnsi="Times New Roman" w:cs="Times New Roman"/>
          <w:sz w:val="24"/>
          <w:szCs w:val="24"/>
        </w:rPr>
        <w:t xml:space="preserve"> ДДП.</w:t>
      </w:r>
    </w:p>
    <w:p w:rsidR="00D37148" w:rsidRDefault="00A60224">
      <w:pPr>
        <w:shd w:val="clear" w:color="auto" w:fill="FFFFFF"/>
        <w:spacing w:before="240" w:after="60" w:line="240" w:lineRule="auto"/>
        <w:ind w:right="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Дослідження, які необхідно провести, методи і критерії, що використовуватимуться під час стратегічної екологічної оцінки</w:t>
      </w:r>
    </w:p>
    <w:p w:rsidR="00D37148" w:rsidRDefault="00A60224">
      <w:pPr>
        <w:shd w:val="clear" w:color="auto" w:fill="FFFFFF"/>
        <w:spacing w:before="240" w:after="60" w:line="240" w:lineRule="auto"/>
        <w:ind w:right="3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Для розробки стратегічної екологічної оцінки передбачається використовувати наступну інформацію (за умови що така інформація </w:t>
      </w:r>
      <w:r>
        <w:rPr>
          <w:rFonts w:ascii="Times New Roman" w:eastAsia="Times New Roman" w:hAnsi="Times New Roman" w:cs="Times New Roman"/>
          <w:sz w:val="24"/>
          <w:szCs w:val="24"/>
        </w:rPr>
        <w:t>буде надана):</w:t>
      </w:r>
    </w:p>
    <w:p w:rsidR="00D37148" w:rsidRDefault="00A60224">
      <w:pPr>
        <w:numPr>
          <w:ilvl w:val="0"/>
          <w:numId w:val="2"/>
        </w:numPr>
        <w:shd w:val="clear" w:color="auto" w:fill="FFFFFF"/>
        <w:spacing w:line="240" w:lineRule="auto"/>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доповіді про стан довкілля в Івано-Франківській області;</w:t>
      </w:r>
      <w:r>
        <w:rPr>
          <w:rFonts w:ascii="Times New Roman" w:eastAsia="Times New Roman" w:hAnsi="Times New Roman" w:cs="Times New Roman"/>
          <w:sz w:val="24"/>
          <w:szCs w:val="24"/>
        </w:rPr>
        <w:tab/>
      </w:r>
    </w:p>
    <w:p w:rsidR="00D37148" w:rsidRDefault="00A60224">
      <w:pPr>
        <w:numPr>
          <w:ilvl w:val="0"/>
          <w:numId w:val="2"/>
        </w:numPr>
        <w:shd w:val="clear" w:color="auto" w:fill="FFFFFF"/>
        <w:spacing w:line="240" w:lineRule="auto"/>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статистичну </w:t>
      </w:r>
      <w:r>
        <w:rPr>
          <w:rFonts w:ascii="Times New Roman" w:eastAsia="Times New Roman" w:hAnsi="Times New Roman" w:cs="Times New Roman"/>
          <w:sz w:val="24"/>
          <w:szCs w:val="24"/>
        </w:rPr>
        <w:tab/>
        <w:t>інформацію щодо стану довкілля, дані моніторингу стану довкілля в Івано-Франківській області;</w:t>
      </w:r>
    </w:p>
    <w:p w:rsidR="00D37148" w:rsidRDefault="00A60224">
      <w:pPr>
        <w:numPr>
          <w:ilvl w:val="0"/>
          <w:numId w:val="2"/>
        </w:numPr>
        <w:shd w:val="clear" w:color="auto" w:fill="FFFFFF"/>
        <w:spacing w:line="240" w:lineRule="auto"/>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Відомості про стан та місця розташування об'єктів ПЗФ;</w:t>
      </w:r>
    </w:p>
    <w:p w:rsidR="00D37148" w:rsidRDefault="00A60224">
      <w:pPr>
        <w:numPr>
          <w:ilvl w:val="0"/>
          <w:numId w:val="2"/>
        </w:numPr>
        <w:shd w:val="clear" w:color="auto" w:fill="FFFFFF"/>
        <w:spacing w:line="240" w:lineRule="auto"/>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Відомості про стан та місця розташування об'єктів Смарагдової мережі, червонокнижних видів;</w:t>
      </w:r>
    </w:p>
    <w:p w:rsidR="00D37148" w:rsidRDefault="00A60224">
      <w:pPr>
        <w:numPr>
          <w:ilvl w:val="0"/>
          <w:numId w:val="2"/>
        </w:numPr>
        <w:shd w:val="clear" w:color="auto" w:fill="FFFFFF"/>
        <w:spacing w:line="240" w:lineRule="auto"/>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Паспорти об'єктів культурної спадщини, відомості про їх місце розташування;</w:t>
      </w:r>
    </w:p>
    <w:p w:rsidR="00D37148" w:rsidRDefault="00A60224">
      <w:pPr>
        <w:numPr>
          <w:ilvl w:val="0"/>
          <w:numId w:val="2"/>
        </w:numPr>
        <w:shd w:val="clear" w:color="auto" w:fill="FFFFFF"/>
        <w:spacing w:line="240" w:lineRule="auto"/>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Пропозиції </w:t>
      </w:r>
      <w:r>
        <w:rPr>
          <w:rFonts w:ascii="Times New Roman" w:eastAsia="Times New Roman" w:hAnsi="Times New Roman" w:cs="Times New Roman"/>
          <w:sz w:val="24"/>
          <w:szCs w:val="24"/>
        </w:rPr>
        <w:tab/>
        <w:t xml:space="preserve">щодо зміни існуючого функціонального </w:t>
      </w:r>
      <w:r>
        <w:rPr>
          <w:rFonts w:ascii="Times New Roman" w:eastAsia="Times New Roman" w:hAnsi="Times New Roman" w:cs="Times New Roman"/>
          <w:sz w:val="24"/>
          <w:szCs w:val="24"/>
        </w:rPr>
        <w:tab/>
        <w:t>використання території;</w:t>
      </w:r>
    </w:p>
    <w:p w:rsidR="00D37148" w:rsidRDefault="00A60224">
      <w:pPr>
        <w:numPr>
          <w:ilvl w:val="0"/>
          <w:numId w:val="2"/>
        </w:numPr>
        <w:shd w:val="clear" w:color="auto" w:fill="FFFFFF"/>
        <w:spacing w:line="240" w:lineRule="auto"/>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Відомості про </w:t>
      </w:r>
      <w:r>
        <w:rPr>
          <w:rFonts w:ascii="Times New Roman" w:eastAsia="Times New Roman" w:hAnsi="Times New Roman" w:cs="Times New Roman"/>
          <w:sz w:val="24"/>
          <w:szCs w:val="24"/>
        </w:rPr>
        <w:t>інтенсивність руху на автомобільних дорогах;</w:t>
      </w:r>
    </w:p>
    <w:p w:rsidR="00D37148" w:rsidRDefault="00A60224">
      <w:pPr>
        <w:numPr>
          <w:ilvl w:val="0"/>
          <w:numId w:val="2"/>
        </w:numPr>
        <w:spacing w:line="240" w:lineRule="auto"/>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наявні і заплановані інвестиційні проекти щодо розвитку інфраструктури, відновлення, рекультивації навколишнього середовища, соціального розвитку.</w:t>
      </w:r>
    </w:p>
    <w:p w:rsidR="00D37148" w:rsidRDefault="00A60224">
      <w:pPr>
        <w:numPr>
          <w:ilvl w:val="0"/>
          <w:numId w:val="2"/>
        </w:numPr>
        <w:spacing w:line="240" w:lineRule="auto"/>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про підприємства-забруднювачі;</w:t>
      </w:r>
    </w:p>
    <w:p w:rsidR="00D37148" w:rsidRDefault="00A60224">
      <w:pPr>
        <w:numPr>
          <w:ilvl w:val="0"/>
          <w:numId w:val="2"/>
        </w:numPr>
        <w:spacing w:line="240" w:lineRule="auto"/>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Відомос</w:t>
      </w:r>
      <w:r>
        <w:rPr>
          <w:rFonts w:ascii="Times New Roman" w:eastAsia="Times New Roman" w:hAnsi="Times New Roman" w:cs="Times New Roman"/>
          <w:sz w:val="24"/>
          <w:szCs w:val="24"/>
        </w:rPr>
        <w:t>ті про агровиробничі групи грунтів;</w:t>
      </w:r>
    </w:p>
    <w:p w:rsidR="00D37148" w:rsidRDefault="00A60224">
      <w:pPr>
        <w:numPr>
          <w:ilvl w:val="0"/>
          <w:numId w:val="2"/>
        </w:numPr>
        <w:spacing w:line="240" w:lineRule="auto"/>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Відомості про тваринний та рослинний світ;</w:t>
      </w:r>
    </w:p>
    <w:p w:rsidR="00D37148" w:rsidRDefault="00A60224">
      <w:pPr>
        <w:numPr>
          <w:ilvl w:val="0"/>
          <w:numId w:val="2"/>
        </w:numPr>
        <w:shd w:val="clear" w:color="auto" w:fill="FFFFFF"/>
        <w:spacing w:line="240" w:lineRule="auto"/>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топографічну основу і набір профільних геопросторових даних ДДП з планувальними альтернативами;</w:t>
      </w:r>
    </w:p>
    <w:p w:rsidR="00D37148" w:rsidRDefault="00A60224">
      <w:pPr>
        <w:numPr>
          <w:ilvl w:val="0"/>
          <w:numId w:val="2"/>
        </w:numPr>
        <w:shd w:val="clear" w:color="auto" w:fill="FFFFFF"/>
        <w:spacing w:line="240" w:lineRule="auto"/>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картографічні джерела, космічні знімки.</w:t>
      </w:r>
    </w:p>
    <w:p w:rsidR="00D37148" w:rsidRDefault="00A60224">
      <w:pPr>
        <w:shd w:val="clear" w:color="auto" w:fill="FFFFFF"/>
        <w:spacing w:before="240" w:after="60" w:line="240" w:lineRule="auto"/>
        <w:ind w:right="3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аналізу території буде викор</w:t>
      </w:r>
      <w:r>
        <w:rPr>
          <w:rFonts w:ascii="Times New Roman" w:eastAsia="Times New Roman" w:hAnsi="Times New Roman" w:cs="Times New Roman"/>
          <w:sz w:val="24"/>
          <w:szCs w:val="24"/>
        </w:rPr>
        <w:t>истано геоінформаційну модель території, застосовано методику нечіткої оцінки впливу об’єктів на навколишнє середовище на основі просторового розташування об’єктів території [3][4][5][6], методичні та методологічні підходи ландшафтного планування [7][8][9]</w:t>
      </w:r>
      <w:r>
        <w:rPr>
          <w:rFonts w:ascii="Times New Roman" w:eastAsia="Times New Roman" w:hAnsi="Times New Roman" w:cs="Times New Roman"/>
          <w:sz w:val="24"/>
          <w:szCs w:val="24"/>
        </w:rPr>
        <w:t>[10] та інші методики, необхідність застосування яких буде визначено за результатами пропозицій, що надійдуть під час розгляду цього документу за процедурою, визначеною ст. 9,10 Закону України “Про стратегічну екологічну оцінку”.</w:t>
      </w:r>
    </w:p>
    <w:p w:rsidR="00D37148" w:rsidRDefault="00A60224">
      <w:pPr>
        <w:shd w:val="clear" w:color="auto" w:fill="FFFFFF"/>
        <w:spacing w:before="240" w:after="60" w:line="240" w:lineRule="auto"/>
        <w:ind w:right="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D37148" w:rsidRDefault="00A60224">
      <w:pPr>
        <w:shd w:val="clear" w:color="auto" w:fill="FFFFFF"/>
        <w:spacing w:line="240" w:lineRule="auto"/>
        <w:ind w:right="3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здійснення стратегічної екологічної оцінки передбачається розглядати заходи із запобігання, зменшення </w:t>
      </w:r>
      <w:r>
        <w:rPr>
          <w:rFonts w:ascii="Times New Roman" w:eastAsia="Times New Roman" w:hAnsi="Times New Roman" w:cs="Times New Roman"/>
          <w:sz w:val="24"/>
          <w:szCs w:val="24"/>
        </w:rPr>
        <w:t>та пом’якшення негативних наслідків на довкілля, визначені законодавством та нормативно-правовими актами, зокрема:</w:t>
      </w:r>
    </w:p>
    <w:p w:rsidR="00D37148" w:rsidRDefault="00A60224">
      <w:pPr>
        <w:shd w:val="clear" w:color="auto" w:fill="FFFFFF"/>
        <w:spacing w:line="240" w:lineRule="auto"/>
        <w:ind w:right="3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Встановлення просторових планувальних обмежень навколо об’єктів, що можуть нести негативний вплив на довкілля та здоров’я населення;</w:t>
      </w:r>
    </w:p>
    <w:p w:rsidR="00D37148" w:rsidRDefault="00A60224">
      <w:pPr>
        <w:shd w:val="clear" w:color="auto" w:fill="FFFFFF"/>
        <w:spacing w:line="240" w:lineRule="auto"/>
        <w:ind w:right="3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Встановлення часових обмежень функціонування об’єктів на території внесення змін до генерального плану;</w:t>
      </w:r>
    </w:p>
    <w:p w:rsidR="00D37148" w:rsidRDefault="00A60224">
      <w:pPr>
        <w:shd w:val="clear" w:color="auto" w:fill="FFFFFF"/>
        <w:spacing w:line="240" w:lineRule="auto"/>
        <w:ind w:right="3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Планувальні альтернативи для території, метою яких є визначення просторових рішень, за яких відбудеться запобігання, зменшення та пом’якшення нега</w:t>
      </w:r>
      <w:r>
        <w:rPr>
          <w:rFonts w:ascii="Times New Roman" w:eastAsia="Times New Roman" w:hAnsi="Times New Roman" w:cs="Times New Roman"/>
          <w:sz w:val="24"/>
          <w:szCs w:val="24"/>
        </w:rPr>
        <w:t>тивних наслідків виконання ДДП;</w:t>
      </w:r>
    </w:p>
    <w:p w:rsidR="00D37148" w:rsidRDefault="00A60224">
      <w:pPr>
        <w:shd w:val="clear" w:color="auto" w:fill="FFFFFF"/>
        <w:spacing w:line="240" w:lineRule="auto"/>
        <w:ind w:right="3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Компенсаційні заходи, що сприятимуть пом’якшенню можливих негативних наслідків впровадження ДДП, зокрема адміністративні, що встановлюватимуть обмеження для функціонування запланованих об’єктів.</w:t>
      </w:r>
    </w:p>
    <w:p w:rsidR="00D37148" w:rsidRDefault="00A60224">
      <w:pPr>
        <w:shd w:val="clear" w:color="auto" w:fill="FFFFFF"/>
        <w:spacing w:before="240" w:after="60" w:line="240" w:lineRule="auto"/>
        <w:ind w:right="3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 Пропозиції щодо структу</w:t>
      </w:r>
      <w:r>
        <w:rPr>
          <w:rFonts w:ascii="Times New Roman" w:eastAsia="Times New Roman" w:hAnsi="Times New Roman" w:cs="Times New Roman"/>
          <w:b/>
          <w:sz w:val="24"/>
          <w:szCs w:val="24"/>
        </w:rPr>
        <w:t>ри та змісту звіту про стратегічну екологічну оцінку</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Структура звіту про стратегічну екологічну оцінку буде виконуватися згідно Закону України “Про стратегічну екологічну оцінку” [1] та Методичних рекомендацій із здійснення стратегічної екологічної оцінки</w:t>
      </w:r>
      <w:r>
        <w:rPr>
          <w:rFonts w:ascii="Times New Roman" w:eastAsia="Times New Roman" w:hAnsi="Times New Roman" w:cs="Times New Roman"/>
          <w:sz w:val="24"/>
          <w:szCs w:val="24"/>
        </w:rPr>
        <w:t xml:space="preserve"> ДДП [2].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Зміст стратегічної екологічної оцінки визначається переліком основних екологічних проблем наявних на території ДДП.</w:t>
      </w:r>
    </w:p>
    <w:p w:rsidR="00D37148" w:rsidRDefault="00A60224">
      <w:pPr>
        <w:shd w:val="clear" w:color="auto" w:fill="FFFFFF"/>
        <w:spacing w:before="240" w:line="240" w:lineRule="auto"/>
        <w:ind w:right="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Орган, до якого подаються зауваження і пропозиції та строки їх подання</w:t>
      </w:r>
    </w:p>
    <w:p w:rsidR="00D37148" w:rsidRDefault="00A60224">
      <w:pPr>
        <w:shd w:val="clear" w:color="auto" w:fill="FFFFFF"/>
        <w:spacing w:after="60" w:line="240" w:lineRule="auto"/>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Поляницька сільська рада Івано-Франківської області На</w:t>
      </w:r>
      <w:r>
        <w:rPr>
          <w:rFonts w:ascii="Times New Roman" w:eastAsia="Times New Roman" w:hAnsi="Times New Roman" w:cs="Times New Roman"/>
          <w:sz w:val="24"/>
          <w:szCs w:val="24"/>
        </w:rPr>
        <w:t xml:space="preserve">двірнянського району, с. Поляниця, вул. Карпатська 1, 78593. Емейл: </w:t>
      </w:r>
      <w:hyperlink r:id="rId10">
        <w:r>
          <w:rPr>
            <w:rFonts w:ascii="Times New Roman" w:eastAsia="Times New Roman" w:hAnsi="Times New Roman" w:cs="Times New Roman"/>
            <w:sz w:val="24"/>
            <w:szCs w:val="24"/>
          </w:rPr>
          <w:t>polianytska.sr@gmail.com</w:t>
        </w:r>
      </w:hyperlink>
      <w:r>
        <w:rPr>
          <w:rFonts w:ascii="Times New Roman" w:eastAsia="Times New Roman" w:hAnsi="Times New Roman" w:cs="Times New Roman"/>
          <w:sz w:val="24"/>
          <w:szCs w:val="24"/>
        </w:rPr>
        <w:t>. Телефон: (03434) 37 - 2 - 40, (03434) 37 - 3 - 27.</w:t>
      </w:r>
    </w:p>
    <w:p w:rsidR="00D37148" w:rsidRDefault="00D37148">
      <w:pPr>
        <w:shd w:val="clear" w:color="auto" w:fill="FFFFFF"/>
        <w:spacing w:after="60" w:line="240" w:lineRule="auto"/>
        <w:ind w:right="30"/>
        <w:jc w:val="both"/>
        <w:rPr>
          <w:rFonts w:ascii="Times New Roman" w:eastAsia="Times New Roman" w:hAnsi="Times New Roman" w:cs="Times New Roman"/>
          <w:sz w:val="24"/>
          <w:szCs w:val="24"/>
        </w:rPr>
      </w:pPr>
    </w:p>
    <w:p w:rsidR="00D37148" w:rsidRDefault="00A60224">
      <w:pPr>
        <w:spacing w:line="240" w:lineRule="auto"/>
        <w:ind w:right="30"/>
        <w:jc w:val="both"/>
        <w:rPr>
          <w:rFonts w:ascii="Times New Roman" w:eastAsia="Times New Roman" w:hAnsi="Times New Roman" w:cs="Times New Roman"/>
          <w:color w:val="980000"/>
          <w:sz w:val="24"/>
          <w:szCs w:val="24"/>
        </w:rPr>
      </w:pPr>
      <w:r>
        <w:rPr>
          <w:rFonts w:ascii="Times New Roman" w:eastAsia="Times New Roman" w:hAnsi="Times New Roman" w:cs="Times New Roman"/>
          <w:b/>
          <w:sz w:val="24"/>
          <w:szCs w:val="24"/>
        </w:rPr>
        <w:t>10. Строки подання зауважень</w:t>
      </w:r>
      <w:r>
        <w:rPr>
          <w:rFonts w:ascii="Times New Roman" w:eastAsia="Times New Roman" w:hAnsi="Times New Roman" w:cs="Times New Roman"/>
          <w:b/>
          <w:i/>
          <w:sz w:val="24"/>
          <w:szCs w:val="24"/>
        </w:rPr>
        <w:br/>
      </w:r>
      <w:r>
        <w:rPr>
          <w:rFonts w:ascii="Times New Roman" w:eastAsia="Times New Roman" w:hAnsi="Times New Roman" w:cs="Times New Roman"/>
          <w:sz w:val="24"/>
          <w:szCs w:val="24"/>
        </w:rPr>
        <w:t>15 днів, з</w:t>
      </w:r>
      <w:r>
        <w:rPr>
          <w:rFonts w:ascii="Times New Roman" w:eastAsia="Times New Roman" w:hAnsi="Times New Roman" w:cs="Times New Roman"/>
          <w:color w:val="FF0000"/>
          <w:sz w:val="24"/>
          <w:szCs w:val="24"/>
        </w:rPr>
        <w:t xml:space="preserve"> 08.07.2021 р. по 22</w:t>
      </w:r>
      <w:r>
        <w:rPr>
          <w:rFonts w:ascii="Times New Roman" w:eastAsia="Times New Roman" w:hAnsi="Times New Roman" w:cs="Times New Roman"/>
          <w:color w:val="FF0000"/>
          <w:sz w:val="24"/>
          <w:szCs w:val="24"/>
        </w:rPr>
        <w:t>.07.2021 р.</w:t>
      </w:r>
      <w:r>
        <w:rPr>
          <w:rFonts w:ascii="Times New Roman" w:eastAsia="Times New Roman" w:hAnsi="Times New Roman" w:cs="Times New Roman"/>
          <w:sz w:val="24"/>
          <w:szCs w:val="24"/>
        </w:rPr>
        <w:t xml:space="preserve"> (відповідно до пп. 5, 6 ст. 10 Закону України «Про стратегічну екологічну оцінку»).</w:t>
      </w:r>
      <w:r>
        <w:br w:type="page"/>
      </w:r>
    </w:p>
    <w:p w:rsidR="00D37148" w:rsidRDefault="00A60224">
      <w:pPr>
        <w:spacing w:after="60" w:line="240" w:lineRule="auto"/>
        <w:ind w:right="3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СПИСОК ВИКОРИСТАНИХ ДЖЕРЕЛ </w:t>
      </w:r>
    </w:p>
    <w:p w:rsidR="00D37148" w:rsidRDefault="00A60224">
      <w:pPr>
        <w:spacing w:after="60" w:line="240" w:lineRule="auto"/>
        <w:ind w:right="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Закон України “Про стратегічну екологічну оцінку”. Доступно онлайн: </w:t>
      </w:r>
      <w:hyperlink r:id="rId11">
        <w:r>
          <w:rPr>
            <w:rFonts w:ascii="Times New Roman" w:eastAsia="Times New Roman" w:hAnsi="Times New Roman" w:cs="Times New Roman"/>
            <w:sz w:val="20"/>
            <w:szCs w:val="20"/>
          </w:rPr>
          <w:t>https://zakon.rada.gov.ua/laws/show/2354-19</w:t>
        </w:r>
      </w:hyperlink>
      <w:r>
        <w:rPr>
          <w:rFonts w:ascii="Times New Roman" w:eastAsia="Times New Roman" w:hAnsi="Times New Roman" w:cs="Times New Roman"/>
          <w:sz w:val="20"/>
          <w:szCs w:val="20"/>
        </w:rPr>
        <w:t xml:space="preserve"> </w:t>
      </w:r>
    </w:p>
    <w:p w:rsidR="00D37148" w:rsidRDefault="00A60224">
      <w:pPr>
        <w:spacing w:after="60" w:line="240" w:lineRule="auto"/>
        <w:ind w:right="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Наказ Міністерства екології та природних ресурсів України № 296 від 10.08.2018 р. Доступно онлайн: https://menr.gov.ua/files/docs/nakazy/2018/nakaz_296.pdf . </w:t>
      </w:r>
    </w:p>
    <w:p w:rsidR="00D37148" w:rsidRDefault="00A60224">
      <w:pPr>
        <w:spacing w:after="60" w:line="240" w:lineRule="auto"/>
        <w:ind w:right="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InVEST 3.7.0.post10+ug.h2ce175de3cea documentation. Доступно онлайн: </w:t>
      </w:r>
      <w:hyperlink r:id="rId12" w:anchor="the-model">
        <w:r>
          <w:rPr>
            <w:rFonts w:ascii="Times New Roman" w:eastAsia="Times New Roman" w:hAnsi="Times New Roman" w:cs="Times New Roman"/>
            <w:sz w:val="20"/>
            <w:szCs w:val="20"/>
          </w:rPr>
          <w:t>http://releases.naturalcapitalproject.org/invest-userguide/late</w:t>
        </w:r>
        <w:r>
          <w:rPr>
            <w:rFonts w:ascii="Times New Roman" w:eastAsia="Times New Roman" w:hAnsi="Times New Roman" w:cs="Times New Roman"/>
            <w:sz w:val="20"/>
            <w:szCs w:val="20"/>
          </w:rPr>
          <w:t>st/habitat_quality.html#the-model</w:t>
        </w:r>
      </w:hyperlink>
      <w:r>
        <w:rPr>
          <w:rFonts w:ascii="Times New Roman" w:eastAsia="Times New Roman" w:hAnsi="Times New Roman" w:cs="Times New Roman"/>
          <w:sz w:val="20"/>
          <w:szCs w:val="20"/>
        </w:rPr>
        <w:t xml:space="preserve"> </w:t>
      </w:r>
    </w:p>
    <w:p w:rsidR="00D37148" w:rsidRDefault="00A60224">
      <w:pPr>
        <w:spacing w:after="60" w:line="240" w:lineRule="auto"/>
        <w:ind w:right="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Лященко А.А. Нечіткі геоінформаційні моделі прояву екологічних факторів та їх впливу на грошову оцінку земельних ділянок, Лященко А.А., Волочко Є.П., Кравченко Ю.В. Вісник геодезії та картографії, 2012, № 1 (76). </w:t>
      </w:r>
    </w:p>
    <w:p w:rsidR="00D37148" w:rsidRDefault="00A60224">
      <w:pPr>
        <w:spacing w:after="60" w:line="240" w:lineRule="auto"/>
        <w:ind w:right="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Л</w:t>
      </w:r>
      <w:r>
        <w:rPr>
          <w:rFonts w:ascii="Times New Roman" w:eastAsia="Times New Roman" w:hAnsi="Times New Roman" w:cs="Times New Roman"/>
          <w:sz w:val="20"/>
          <w:szCs w:val="20"/>
        </w:rPr>
        <w:t xml:space="preserve">ященко А.А., Волочко Є.П., Геоінформаційні моделі та методи врахування впливу екологічних факторів на грошову оцінку земельних ділянок. Містобудування та територіальне планування с.63-73, 2010 р, №36. </w:t>
      </w:r>
    </w:p>
    <w:p w:rsidR="00D37148" w:rsidRDefault="00A60224">
      <w:pPr>
        <w:spacing w:after="60" w:line="240" w:lineRule="auto"/>
        <w:ind w:right="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Procedure for impact assessing on the environment, Proceedings of Odessa Polytechnic University, Issue 1(54), 2018, 99-107, O. Stanovskiy, DSc, Prof.,I. Prokopovitch, DSc, Assos. Prof.,H. Olekh,K. Kolesnikova, DSc, Prof.,L. Sorokina. </w:t>
      </w:r>
    </w:p>
    <w:p w:rsidR="00D37148" w:rsidRDefault="00A60224">
      <w:pPr>
        <w:spacing w:after="60" w:line="240" w:lineRule="auto"/>
        <w:ind w:right="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Ландшафтне план</w:t>
      </w:r>
      <w:r>
        <w:rPr>
          <w:rFonts w:ascii="Times New Roman" w:eastAsia="Times New Roman" w:hAnsi="Times New Roman" w:cs="Times New Roman"/>
          <w:sz w:val="20"/>
          <w:szCs w:val="20"/>
        </w:rPr>
        <w:t xml:space="preserve">ування в Україні / Л. Г. Руденко, Є. О. Маруняк, О. Г. Голубцов та ін.; під ред. Л. Г. Руденка. — К. : Реферат, 2014. — 144 с.: іл. </w:t>
      </w:r>
    </w:p>
    <w:p w:rsidR="00D37148" w:rsidRDefault="00A60224">
      <w:pPr>
        <w:spacing w:after="60" w:line="240" w:lineRule="auto"/>
        <w:ind w:right="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 Методика інтеграції екологічної складової розвитку у просторове планування України (регіональний рівень) / Л. Г. Руденко</w:t>
      </w:r>
      <w:r>
        <w:rPr>
          <w:rFonts w:ascii="Times New Roman" w:eastAsia="Times New Roman" w:hAnsi="Times New Roman" w:cs="Times New Roman"/>
          <w:sz w:val="20"/>
          <w:szCs w:val="20"/>
        </w:rPr>
        <w:t xml:space="preserve">, Є. О. Маруняк, Ю. М. Палеха, О. Г. Голубцов, Ш. Хайланд та ін. / за ред. Л. Г. Руденка. — К. : Реферат, 2016. — 80 с. : іл. </w:t>
      </w:r>
    </w:p>
    <w:p w:rsidR="00D37148" w:rsidRDefault="00A60224">
      <w:pPr>
        <w:spacing w:after="60" w:line="240" w:lineRule="auto"/>
        <w:ind w:right="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 Leonid Rudenko, Eugenia Marunyak, Serhiy Lisovskyi, Oleksandr Golubtsov, Viktor Chekhniy, Yuriy Farion. The Landscape Plans Sy</w:t>
      </w:r>
      <w:r>
        <w:rPr>
          <w:rFonts w:ascii="Times New Roman" w:eastAsia="Times New Roman" w:hAnsi="Times New Roman" w:cs="Times New Roman"/>
          <w:sz w:val="20"/>
          <w:szCs w:val="20"/>
        </w:rPr>
        <w:t>stem as a Tool for Sustainable Development in Ukraine / M. Luc. U. Somorowska and J.B. Szmarida (eds.). // Landscape Analysis and Planning. Geographical Perspectives // Springer International Publishing, Switzerland 2015. P. 217 – 244. 10. Rudenko, Leonid,</w:t>
      </w:r>
      <w:r>
        <w:rPr>
          <w:rFonts w:ascii="Times New Roman" w:eastAsia="Times New Roman" w:hAnsi="Times New Roman" w:cs="Times New Roman"/>
          <w:sz w:val="20"/>
          <w:szCs w:val="20"/>
        </w:rPr>
        <w:t xml:space="preserve"> Eugenia Maruniak, Oleksandr Golubtsov, et al. 2017. Reshaping Rural Communities and Spatial Planning in Ukraine. European Countryside. 9(3): 594-616. Retrieved 16 Oct. 2017, from doi:10.1515/euco-2017-0035 .</w:t>
      </w:r>
    </w:p>
    <w:p w:rsidR="00D37148" w:rsidRDefault="00A60224">
      <w:pPr>
        <w:spacing w:after="60" w:line="240" w:lineRule="auto"/>
        <w:ind w:right="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Pr>
          <w:rFonts w:ascii="Times New Roman" w:eastAsia="Times New Roman" w:hAnsi="Times New Roman" w:cs="Times New Roman"/>
          <w:sz w:val="20"/>
          <w:szCs w:val="20"/>
          <w:highlight w:val="white"/>
        </w:rPr>
        <w:t>Закон України “Про основи містобудування”.</w:t>
      </w:r>
    </w:p>
    <w:p w:rsidR="00D37148" w:rsidRDefault="00A60224">
      <w:pPr>
        <w:spacing w:after="60" w:line="240" w:lineRule="auto"/>
        <w:ind w:right="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12. Наказ МОЗ України  “Про затвердження Державних санітарних правил </w:t>
      </w:r>
      <w:r>
        <w:rPr>
          <w:rFonts w:ascii="Times New Roman" w:eastAsia="Times New Roman" w:hAnsi="Times New Roman" w:cs="Times New Roman"/>
          <w:sz w:val="20"/>
          <w:szCs w:val="20"/>
        </w:rPr>
        <w:t>планування та забудови населених пунктів“  № 173 від 19.06.96. Доступно онлайн:</w:t>
      </w:r>
      <w:hyperlink r:id="rId13">
        <w:r>
          <w:rPr>
            <w:rFonts w:ascii="Times New Roman" w:eastAsia="Times New Roman" w:hAnsi="Times New Roman" w:cs="Times New Roman"/>
            <w:sz w:val="20"/>
            <w:szCs w:val="20"/>
            <w:u w:val="single"/>
          </w:rPr>
          <w:t>https://zakon.rada.gov.ua/laws/show/z0379-96</w:t>
        </w:r>
      </w:hyperlink>
      <w:r>
        <w:rPr>
          <w:rFonts w:ascii="Times New Roman" w:eastAsia="Times New Roman" w:hAnsi="Times New Roman" w:cs="Times New Roman"/>
          <w:sz w:val="20"/>
          <w:szCs w:val="20"/>
        </w:rPr>
        <w:t xml:space="preserve"> </w:t>
      </w:r>
    </w:p>
    <w:p w:rsidR="00D37148" w:rsidRDefault="00A60224">
      <w:pPr>
        <w:spacing w:after="60" w:line="240" w:lineRule="auto"/>
        <w:ind w:right="30"/>
        <w:jc w:val="both"/>
        <w:rPr>
          <w:rFonts w:ascii="Times New Roman" w:eastAsia="Times New Roman" w:hAnsi="Times New Roman" w:cs="Times New Roman"/>
          <w:b/>
          <w:sz w:val="28"/>
          <w:szCs w:val="28"/>
        </w:rPr>
      </w:pPr>
      <w:r>
        <w:rPr>
          <w:rFonts w:ascii="Times New Roman" w:eastAsia="Times New Roman" w:hAnsi="Times New Roman" w:cs="Times New Roman"/>
          <w:sz w:val="20"/>
          <w:szCs w:val="20"/>
        </w:rPr>
        <w:t xml:space="preserve">13. Національна доповідь “Цілі сталого розвитку: Україна”, 2017. Доступно онлайн: </w:t>
      </w:r>
      <w:hyperlink r:id="rId14">
        <w:r>
          <w:rPr>
            <w:rFonts w:ascii="Times New Roman" w:eastAsia="Times New Roman" w:hAnsi="Times New Roman" w:cs="Times New Roman"/>
            <w:sz w:val="20"/>
            <w:szCs w:val="20"/>
            <w:u w:val="single"/>
          </w:rPr>
          <w:t>http://www.un.org.ua/ua/tsili-rozvytku-tysiacholittia/tsili-staloho-rozvytku</w:t>
        </w:r>
      </w:hyperlink>
    </w:p>
    <w:p w:rsidR="00D37148" w:rsidRDefault="00D37148">
      <w:pPr>
        <w:ind w:right="30"/>
        <w:rPr>
          <w:rFonts w:ascii="Times New Roman" w:eastAsia="Times New Roman" w:hAnsi="Times New Roman" w:cs="Times New Roman"/>
          <w:color w:val="FF0000"/>
          <w:sz w:val="24"/>
          <w:szCs w:val="24"/>
        </w:rPr>
      </w:pPr>
    </w:p>
    <w:sectPr w:rsidR="00D37148">
      <w:headerReference w:type="default" r:id="rId15"/>
      <w:footerReference w:type="default" r:id="rId16"/>
      <w:headerReference w:type="first" r:id="rId17"/>
      <w:footerReference w:type="first" r:id="rId18"/>
      <w:pgSz w:w="11906" w:h="16838"/>
      <w:pgMar w:top="566" w:right="720" w:bottom="566" w:left="1440"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224" w:rsidRDefault="00A60224">
      <w:pPr>
        <w:spacing w:line="240" w:lineRule="auto"/>
      </w:pPr>
      <w:r>
        <w:separator/>
      </w:r>
    </w:p>
  </w:endnote>
  <w:endnote w:type="continuationSeparator" w:id="0">
    <w:p w:rsidR="00A60224" w:rsidRDefault="00A602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roman"/>
    <w:notTrueType/>
    <w:pitch w:val="default"/>
  </w:font>
  <w:font w:name="Raleway">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48" w:rsidRDefault="00D37148"/>
  <w:p w:rsidR="00D37148" w:rsidRDefault="00A60224">
    <w:pPr>
      <w:jc w:val="right"/>
      <w:rPr>
        <w:rFonts w:ascii="Times New Roman" w:eastAsia="Times New Roman" w:hAnsi="Times New Roman" w:cs="Times New Roman"/>
        <w:color w:val="666666"/>
        <w:sz w:val="18"/>
        <w:szCs w:val="18"/>
      </w:rPr>
    </w:pPr>
    <w:r>
      <w:pict>
        <v:rect id="_x0000_i1026" style="width:0;height:1.5pt" o:hralign="center" o:hrstd="t" o:hr="t" fillcolor="#a0a0a0" stroked="f"/>
      </w:pict>
    </w:r>
    <w:r>
      <w:rPr>
        <w:color w:val="666666"/>
        <w:sz w:val="18"/>
        <w:szCs w:val="18"/>
      </w:rPr>
      <w:br/>
      <w:t xml:space="preserve"> </w:t>
    </w:r>
    <w:r>
      <w:rPr>
        <w:color w:val="666666"/>
        <w:sz w:val="18"/>
        <w:szCs w:val="18"/>
        <w:highlight w:val="white"/>
      </w:rPr>
      <w:t xml:space="preserve">                                                                                      © </w:t>
    </w:r>
    <w:r>
      <w:rPr>
        <w:color w:val="666666"/>
        <w:sz w:val="18"/>
        <w:szCs w:val="18"/>
      </w:rPr>
      <w:t>Юлія Максимова, Олексій Бойко.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48" w:rsidRDefault="00D37148"/>
  <w:p w:rsidR="00D37148" w:rsidRDefault="00A60224">
    <w:r>
      <w:pict>
        <v:rect id="_x0000_i1027" style="width:0;height:1.5pt" o:hralign="center" o:hrstd="t" o:hr="t" fillcolor="#a0a0a0" stroked="f"/>
      </w:pict>
    </w:r>
  </w:p>
  <w:p w:rsidR="00D37148" w:rsidRDefault="00A60224">
    <w:r>
      <w:rPr>
        <w:rFonts w:ascii="Times New Roman" w:eastAsia="Times New Roman" w:hAnsi="Times New Roman" w:cs="Times New Roman"/>
        <w:color w:val="666666"/>
        <w:sz w:val="18"/>
        <w:szCs w:val="18"/>
      </w:rPr>
      <w:t xml:space="preserve"> @Yuliia Maksymova , Oleksii Boiko,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224" w:rsidRDefault="00A60224">
      <w:pPr>
        <w:spacing w:line="240" w:lineRule="auto"/>
      </w:pPr>
      <w:r>
        <w:separator/>
      </w:r>
    </w:p>
  </w:footnote>
  <w:footnote w:type="continuationSeparator" w:id="0">
    <w:p w:rsidR="00A60224" w:rsidRDefault="00A602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48" w:rsidRDefault="00A60224">
    <w:pPr>
      <w:shd w:val="clear" w:color="auto" w:fill="FFFFFF"/>
      <w:spacing w:line="240" w:lineRule="auto"/>
      <w:ind w:left="-425" w:right="30"/>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Заява про визначення обсягу стратегічної екологічної оцінки документу державного планування</w:t>
    </w:r>
  </w:p>
  <w:p w:rsidR="00D37148" w:rsidRDefault="00A60224">
    <w:pPr>
      <w:spacing w:line="240" w:lineRule="auto"/>
      <w:ind w:left="-425" w:right="-454"/>
      <w:rPr>
        <w:rFonts w:ascii="Times New Roman" w:eastAsia="Times New Roman" w:hAnsi="Times New Roman" w:cs="Times New Roman"/>
        <w:color w:val="808080"/>
        <w:sz w:val="18"/>
        <w:szCs w:val="18"/>
      </w:rPr>
    </w:pPr>
    <w:r>
      <w:rPr>
        <w:rFonts w:ascii="Times New Roman" w:eastAsia="Times New Roman" w:hAnsi="Times New Roman" w:cs="Times New Roman"/>
        <w:color w:val="666666"/>
        <w:sz w:val="18"/>
        <w:szCs w:val="18"/>
      </w:rPr>
      <w:t xml:space="preserve">“Проект внесення змін до генерального плану села Поляниця Поляницької ТГ надвірнянського району Івано-Франківської області суміщені з детальним планом території земельних ділянок в урочищі «Вишні» для нового будівництва об’єктів туристичної інфраструктури </w:t>
    </w:r>
    <w:r>
      <w:rPr>
        <w:rFonts w:ascii="Times New Roman" w:eastAsia="Times New Roman" w:hAnsi="Times New Roman" w:cs="Times New Roman"/>
        <w:color w:val="666666"/>
        <w:sz w:val="18"/>
        <w:szCs w:val="18"/>
      </w:rPr>
      <w:t xml:space="preserve"> та закладів громадського харчування”</w:t>
    </w:r>
    <w:r>
      <w:rPr>
        <w:rFonts w:ascii="Times New Roman" w:eastAsia="Times New Roman" w:hAnsi="Times New Roman" w:cs="Times New Roman"/>
        <w:b/>
        <w:i/>
        <w:sz w:val="24"/>
        <w:szCs w:val="24"/>
      </w:rPr>
      <w:t xml:space="preserve">                </w:t>
    </w:r>
    <w:r>
      <w:rPr>
        <w:rFonts w:ascii="Times New Roman" w:eastAsia="Times New Roman" w:hAnsi="Times New Roman" w:cs="Times New Roman"/>
        <w:color w:val="808080"/>
        <w:sz w:val="18"/>
        <w:szCs w:val="18"/>
      </w:rPr>
      <w:tab/>
    </w:r>
    <w:r>
      <w:rPr>
        <w:rFonts w:ascii="Times New Roman" w:eastAsia="Times New Roman" w:hAnsi="Times New Roman" w:cs="Times New Roman"/>
        <w:color w:val="808080"/>
        <w:sz w:val="18"/>
        <w:szCs w:val="18"/>
      </w:rPr>
      <w:tab/>
    </w:r>
    <w:r>
      <w:rPr>
        <w:rFonts w:ascii="Times New Roman" w:eastAsia="Times New Roman" w:hAnsi="Times New Roman" w:cs="Times New Roman"/>
        <w:color w:val="808080"/>
        <w:sz w:val="18"/>
        <w:szCs w:val="18"/>
      </w:rPr>
      <w:tab/>
    </w:r>
    <w:r>
      <w:rPr>
        <w:rFonts w:ascii="Times New Roman" w:eastAsia="Times New Roman" w:hAnsi="Times New Roman" w:cs="Times New Roman"/>
        <w:color w:val="808080"/>
        <w:sz w:val="18"/>
        <w:szCs w:val="18"/>
      </w:rPr>
      <w:tab/>
    </w:r>
    <w:r>
      <w:rPr>
        <w:rFonts w:ascii="Times New Roman" w:eastAsia="Times New Roman" w:hAnsi="Times New Roman" w:cs="Times New Roman"/>
        <w:color w:val="808080"/>
        <w:sz w:val="18"/>
        <w:szCs w:val="18"/>
      </w:rPr>
      <w:tab/>
    </w:r>
    <w:r>
      <w:rPr>
        <w:rFonts w:ascii="Times New Roman" w:eastAsia="Times New Roman" w:hAnsi="Times New Roman" w:cs="Times New Roman"/>
        <w:color w:val="808080"/>
        <w:sz w:val="18"/>
        <w:szCs w:val="18"/>
      </w:rPr>
      <w:tab/>
    </w:r>
    <w:r>
      <w:rPr>
        <w:rFonts w:ascii="Times New Roman" w:eastAsia="Times New Roman" w:hAnsi="Times New Roman" w:cs="Times New Roman"/>
        <w:color w:val="808080"/>
        <w:sz w:val="18"/>
        <w:szCs w:val="18"/>
      </w:rPr>
      <w:tab/>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sidR="009B554E">
      <w:rPr>
        <w:rFonts w:ascii="Times New Roman" w:eastAsia="Times New Roman" w:hAnsi="Times New Roman" w:cs="Times New Roman"/>
        <w:sz w:val="18"/>
        <w:szCs w:val="18"/>
      </w:rPr>
      <w:fldChar w:fldCharType="separate"/>
    </w:r>
    <w:r w:rsidR="009B554E">
      <w:rPr>
        <w:rFonts w:ascii="Times New Roman" w:eastAsia="Times New Roman" w:hAnsi="Times New Roman" w:cs="Times New Roman"/>
        <w:noProof/>
        <w:sz w:val="18"/>
        <w:szCs w:val="18"/>
      </w:rPr>
      <w:t>8</w:t>
    </w:r>
    <w:r>
      <w:rPr>
        <w:rFonts w:ascii="Times New Roman" w:eastAsia="Times New Roman" w:hAnsi="Times New Roman" w:cs="Times New Roman"/>
        <w:sz w:val="18"/>
        <w:szCs w:val="18"/>
      </w:rPr>
      <w:fldChar w:fldCharType="end"/>
    </w:r>
    <w:r>
      <w:rPr>
        <w:rFonts w:ascii="Times New Roman" w:eastAsia="Times New Roman" w:hAnsi="Times New Roman" w:cs="Times New Roman"/>
        <w:sz w:val="18"/>
        <w:szCs w:val="18"/>
      </w:rPr>
      <w:tab/>
    </w:r>
    <w:r>
      <w:pict>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48" w:rsidRDefault="00D3714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55F2"/>
    <w:multiLevelType w:val="multilevel"/>
    <w:tmpl w:val="B7388838"/>
    <w:lvl w:ilvl="0">
      <w:start w:val="1"/>
      <w:numFmt w:val="bullet"/>
      <w:lvlText w:val="●"/>
      <w:lvlJc w:val="left"/>
      <w:pPr>
        <w:ind w:left="1778" w:hanging="360"/>
      </w:pPr>
      <w:rPr>
        <w:b w:val="0"/>
        <w:sz w:val="24"/>
        <w:szCs w:val="24"/>
        <w:vertAlign w:val="baseline"/>
      </w:rPr>
    </w:lvl>
    <w:lvl w:ilvl="1">
      <w:start w:val="1"/>
      <w:numFmt w:val="bullet"/>
      <w:lvlText w:val="o"/>
      <w:lvlJc w:val="left"/>
      <w:pPr>
        <w:ind w:left="2498" w:hanging="360"/>
      </w:pPr>
      <w:rPr>
        <w:sz w:val="22"/>
        <w:szCs w:val="22"/>
        <w:vertAlign w:val="baseline"/>
      </w:rPr>
    </w:lvl>
    <w:lvl w:ilvl="2">
      <w:start w:val="1"/>
      <w:numFmt w:val="bullet"/>
      <w:lvlText w:val="▪"/>
      <w:lvlJc w:val="left"/>
      <w:pPr>
        <w:ind w:left="3218" w:hanging="360"/>
      </w:pPr>
      <w:rPr>
        <w:sz w:val="22"/>
        <w:szCs w:val="22"/>
        <w:vertAlign w:val="baseline"/>
      </w:rPr>
    </w:lvl>
    <w:lvl w:ilvl="3">
      <w:start w:val="1"/>
      <w:numFmt w:val="bullet"/>
      <w:lvlText w:val="●"/>
      <w:lvlJc w:val="left"/>
      <w:pPr>
        <w:ind w:left="3938" w:hanging="360"/>
      </w:pPr>
      <w:rPr>
        <w:sz w:val="22"/>
        <w:szCs w:val="22"/>
        <w:vertAlign w:val="baseline"/>
      </w:rPr>
    </w:lvl>
    <w:lvl w:ilvl="4">
      <w:start w:val="1"/>
      <w:numFmt w:val="bullet"/>
      <w:lvlText w:val="o"/>
      <w:lvlJc w:val="left"/>
      <w:pPr>
        <w:ind w:left="4658" w:hanging="360"/>
      </w:pPr>
      <w:rPr>
        <w:sz w:val="22"/>
        <w:szCs w:val="22"/>
        <w:vertAlign w:val="baseline"/>
      </w:rPr>
    </w:lvl>
    <w:lvl w:ilvl="5">
      <w:start w:val="1"/>
      <w:numFmt w:val="bullet"/>
      <w:lvlText w:val="▪"/>
      <w:lvlJc w:val="left"/>
      <w:pPr>
        <w:ind w:left="5378" w:hanging="360"/>
      </w:pPr>
      <w:rPr>
        <w:sz w:val="22"/>
        <w:szCs w:val="22"/>
        <w:vertAlign w:val="baseline"/>
      </w:rPr>
    </w:lvl>
    <w:lvl w:ilvl="6">
      <w:start w:val="1"/>
      <w:numFmt w:val="bullet"/>
      <w:lvlText w:val="●"/>
      <w:lvlJc w:val="left"/>
      <w:pPr>
        <w:ind w:left="6098" w:hanging="360"/>
      </w:pPr>
      <w:rPr>
        <w:sz w:val="22"/>
        <w:szCs w:val="22"/>
        <w:vertAlign w:val="baseline"/>
      </w:rPr>
    </w:lvl>
    <w:lvl w:ilvl="7">
      <w:start w:val="1"/>
      <w:numFmt w:val="bullet"/>
      <w:lvlText w:val="o"/>
      <w:lvlJc w:val="left"/>
      <w:pPr>
        <w:ind w:left="6818" w:hanging="360"/>
      </w:pPr>
      <w:rPr>
        <w:sz w:val="22"/>
        <w:szCs w:val="22"/>
        <w:vertAlign w:val="baseline"/>
      </w:rPr>
    </w:lvl>
    <w:lvl w:ilvl="8">
      <w:start w:val="1"/>
      <w:numFmt w:val="bullet"/>
      <w:lvlText w:val="▪"/>
      <w:lvlJc w:val="left"/>
      <w:pPr>
        <w:ind w:left="7538" w:hanging="360"/>
      </w:pPr>
      <w:rPr>
        <w:sz w:val="22"/>
        <w:szCs w:val="22"/>
        <w:vertAlign w:val="baseline"/>
      </w:rPr>
    </w:lvl>
  </w:abstractNum>
  <w:abstractNum w:abstractNumId="1" w15:restartNumberingAfterBreak="0">
    <w:nsid w:val="335C1AD2"/>
    <w:multiLevelType w:val="multilevel"/>
    <w:tmpl w:val="4FBAF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D2009B"/>
    <w:multiLevelType w:val="multilevel"/>
    <w:tmpl w:val="E1307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48"/>
    <w:rsid w:val="009B554E"/>
    <w:rsid w:val="00A60224"/>
    <w:rsid w:val="00D371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5FFA47-4239-4876-9A9D-B5B0A6E2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table" w:customStyle="1" w:styleId="a5">
    <w:basedOn w:val="TableNormal6"/>
    <w:tblPr>
      <w:tblStyleRowBandSize w:val="1"/>
      <w:tblStyleColBandSize w:val="1"/>
      <w:tblCellMar>
        <w:top w:w="100" w:type="dxa"/>
        <w:left w:w="100" w:type="dxa"/>
        <w:bottom w:w="100" w:type="dxa"/>
        <w:right w:w="100" w:type="dxa"/>
      </w:tblCellMar>
    </w:tblPr>
  </w:style>
  <w:style w:type="table" w:customStyle="1" w:styleId="a6">
    <w:basedOn w:val="TableNormal6"/>
    <w:tblPr>
      <w:tblStyleRowBandSize w:val="1"/>
      <w:tblStyleColBandSize w:val="1"/>
      <w:tblCellMar>
        <w:top w:w="100" w:type="dxa"/>
        <w:left w:w="100" w:type="dxa"/>
        <w:bottom w:w="100" w:type="dxa"/>
        <w:right w:w="100" w:type="dxa"/>
      </w:tblCellMar>
    </w:tblPr>
  </w:style>
  <w:style w:type="paragraph" w:styleId="a7">
    <w:name w:val="annotation text"/>
    <w:basedOn w:val="a"/>
    <w:link w:val="a8"/>
    <w:uiPriority w:val="99"/>
    <w:semiHidden/>
    <w:unhideWhenUsed/>
    <w:pPr>
      <w:spacing w:line="240" w:lineRule="auto"/>
    </w:pPr>
    <w:rPr>
      <w:sz w:val="20"/>
      <w:szCs w:val="20"/>
    </w:rPr>
  </w:style>
  <w:style w:type="character" w:customStyle="1" w:styleId="a8">
    <w:name w:val="Текст примечания Знак"/>
    <w:basedOn w:val="a0"/>
    <w:link w:val="a7"/>
    <w:uiPriority w:val="99"/>
    <w:semiHidden/>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uiPriority w:val="99"/>
    <w:semiHidden/>
    <w:unhideWhenUsed/>
    <w:rsid w:val="009D0D33"/>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D0D33"/>
    <w:rPr>
      <w:rFonts w:ascii="Segoe UI" w:hAnsi="Segoe UI" w:cs="Segoe UI"/>
      <w:sz w:val="18"/>
      <w:szCs w:val="18"/>
    </w:rPr>
  </w:style>
  <w:style w:type="character" w:styleId="ac">
    <w:name w:val="Hyperlink"/>
    <w:basedOn w:val="a0"/>
    <w:uiPriority w:val="99"/>
    <w:unhideWhenUsed/>
    <w:rsid w:val="003B7DE8"/>
    <w:rPr>
      <w:color w:val="0000FF" w:themeColor="hyperlink"/>
      <w:u w:val="single"/>
    </w:rPr>
  </w:style>
  <w:style w:type="character" w:customStyle="1" w:styleId="UnresolvedMention">
    <w:name w:val="Unresolved Mention"/>
    <w:basedOn w:val="a0"/>
    <w:uiPriority w:val="99"/>
    <w:semiHidden/>
    <w:unhideWhenUsed/>
    <w:rsid w:val="003B7DE8"/>
    <w:rPr>
      <w:color w:val="605E5C"/>
      <w:shd w:val="clear" w:color="auto" w:fill="E1DFDD"/>
    </w:rPr>
  </w:style>
  <w:style w:type="character" w:styleId="ad">
    <w:name w:val="FollowedHyperlink"/>
    <w:basedOn w:val="a0"/>
    <w:uiPriority w:val="99"/>
    <w:semiHidden/>
    <w:unhideWhenUsed/>
    <w:rsid w:val="0077774D"/>
    <w:rPr>
      <w:color w:val="800080" w:themeColor="followedHyperlink"/>
      <w:u w:val="single"/>
    </w:rPr>
  </w:style>
  <w:style w:type="table" w:customStyle="1" w:styleId="ae">
    <w:basedOn w:val="TableNormal6"/>
    <w:tblPr>
      <w:tblStyleRowBandSize w:val="1"/>
      <w:tblStyleColBandSize w:val="1"/>
      <w:tblCellMar>
        <w:top w:w="100" w:type="dxa"/>
        <w:left w:w="100" w:type="dxa"/>
        <w:bottom w:w="100" w:type="dxa"/>
        <w:right w:w="100" w:type="dxa"/>
      </w:tblCellMar>
    </w:tblPr>
  </w:style>
  <w:style w:type="table" w:customStyle="1" w:styleId="af">
    <w:basedOn w:val="TableNormal6"/>
    <w:tblPr>
      <w:tblStyleRowBandSize w:val="1"/>
      <w:tblStyleColBandSize w:val="1"/>
      <w:tblCellMar>
        <w:top w:w="100" w:type="dxa"/>
        <w:left w:w="100" w:type="dxa"/>
        <w:bottom w:w="100" w:type="dxa"/>
        <w:right w:w="100" w:type="dxa"/>
      </w:tblCellMar>
    </w:tblPr>
  </w:style>
  <w:style w:type="table" w:customStyle="1" w:styleId="af0">
    <w:basedOn w:val="TableNormal6"/>
    <w:tblPr>
      <w:tblStyleRowBandSize w:val="1"/>
      <w:tblStyleColBandSize w:val="1"/>
      <w:tblCellMar>
        <w:top w:w="100" w:type="dxa"/>
        <w:left w:w="100" w:type="dxa"/>
        <w:bottom w:w="100" w:type="dxa"/>
        <w:right w:w="100" w:type="dxa"/>
      </w:tblCellMar>
    </w:tblPr>
  </w:style>
  <w:style w:type="table" w:customStyle="1" w:styleId="af1">
    <w:basedOn w:val="TableNormal6"/>
    <w:tblPr>
      <w:tblStyleRowBandSize w:val="1"/>
      <w:tblStyleColBandSize w:val="1"/>
      <w:tblCellMar>
        <w:top w:w="100" w:type="dxa"/>
        <w:left w:w="100" w:type="dxa"/>
        <w:bottom w:w="100" w:type="dxa"/>
        <w:right w:w="100" w:type="dxa"/>
      </w:tblCellMar>
    </w:tblPr>
  </w:style>
  <w:style w:type="table" w:customStyle="1" w:styleId="af2">
    <w:basedOn w:val="TableNormal6"/>
    <w:tblPr>
      <w:tblStyleRowBandSize w:val="1"/>
      <w:tblStyleColBandSize w:val="1"/>
      <w:tblCellMar>
        <w:top w:w="100" w:type="dxa"/>
        <w:left w:w="100" w:type="dxa"/>
        <w:bottom w:w="100" w:type="dxa"/>
        <w:right w:w="100" w:type="dxa"/>
      </w:tblCellMar>
    </w:tblPr>
  </w:style>
  <w:style w:type="table" w:customStyle="1" w:styleId="af3">
    <w:basedOn w:val="TableNormal6"/>
    <w:tblPr>
      <w:tblStyleRowBandSize w:val="1"/>
      <w:tblStyleColBandSize w:val="1"/>
      <w:tblCellMar>
        <w:top w:w="100" w:type="dxa"/>
        <w:left w:w="100" w:type="dxa"/>
        <w:bottom w:w="100" w:type="dxa"/>
        <w:right w:w="100" w:type="dxa"/>
      </w:tblCellMar>
    </w:tblPr>
  </w:style>
  <w:style w:type="table" w:customStyle="1" w:styleId="af4">
    <w:basedOn w:val="TableNormal6"/>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olianytska.sr@gmail.com" TargetMode="External"/><Relationship Id="rId13" Type="http://schemas.openxmlformats.org/officeDocument/2006/relationships/hyperlink" Target="https://zakon.rada.gov.ua/laws/show/z0379-9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leases.naturalcapitalproject.org/invest-userguide/latest/habitat_quality.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354-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olianytska.sr@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436/96-%D0%B2%D1%80" TargetMode="External"/><Relationship Id="rId14" Type="http://schemas.openxmlformats.org/officeDocument/2006/relationships/hyperlink" Target="http://www.un.org.ua/ua/tsili-rozvytku-tysiacholittia/tsili-staloho-rozvyt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2PhrFlYN2fA8KTUiUS/lh9yoBQ==">AMUW2mVeG5ys6pEM7cPtmlM9QBX7CubfFMVVLQapTTU8ckwLE/3IwJZlM4J23Hb+oUk65c3Y157ot5HosAoXZ24I85VKRhH82MCVJA/zDBLYV4fIfe36BA4=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13673</Words>
  <Characters>7795</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Boiko Oleksii</dc:creator>
  <cp:lastModifiedBy>Користувач Windows</cp:lastModifiedBy>
  <cp:revision>2</cp:revision>
  <dcterms:created xsi:type="dcterms:W3CDTF">2021-06-30T09:02:00Z</dcterms:created>
  <dcterms:modified xsi:type="dcterms:W3CDTF">2021-06-30T09:02:00Z</dcterms:modified>
</cp:coreProperties>
</file>